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A68" w:rsidRPr="00A15F30" w:rsidRDefault="006A45A0" w:rsidP="007C4A68">
      <w:pPr>
        <w:spacing w:before="100" w:beforeAutospacing="1" w:after="100" w:afterAutospacing="1" w:line="240" w:lineRule="auto"/>
        <w:outlineLvl w:val="0"/>
        <w:rPr>
          <w:rFonts w:ascii="Times New Roman" w:eastAsia="Times New Roman" w:hAnsi="Times New Roman" w:cs="Times New Roman"/>
          <w:b/>
          <w:bCs/>
          <w:kern w:val="36"/>
          <w:sz w:val="40"/>
          <w:szCs w:val="40"/>
        </w:rPr>
      </w:pPr>
      <w:r w:rsidRPr="00A15F30">
        <w:rPr>
          <w:rFonts w:ascii="Times New Roman" w:eastAsia="Times New Roman" w:hAnsi="Times New Roman" w:cs="Times New Roman"/>
          <w:b/>
          <w:bCs/>
          <w:kern w:val="36"/>
          <w:sz w:val="40"/>
          <w:szCs w:val="40"/>
        </w:rPr>
        <w:fldChar w:fldCharType="begin"/>
      </w:r>
      <w:r w:rsidR="007C4A68" w:rsidRPr="00A15F30">
        <w:rPr>
          <w:rFonts w:ascii="Times New Roman" w:eastAsia="Times New Roman" w:hAnsi="Times New Roman" w:cs="Times New Roman"/>
          <w:b/>
          <w:bCs/>
          <w:kern w:val="36"/>
          <w:sz w:val="40"/>
          <w:szCs w:val="40"/>
        </w:rPr>
        <w:instrText xml:space="preserve"> HYPERLINK "https://supremecourtcase.wordpress.com/" \o "supremecourtcase" </w:instrText>
      </w:r>
      <w:r w:rsidRPr="00A15F30">
        <w:rPr>
          <w:rFonts w:ascii="Times New Roman" w:eastAsia="Times New Roman" w:hAnsi="Times New Roman" w:cs="Times New Roman"/>
          <w:b/>
          <w:bCs/>
          <w:kern w:val="36"/>
          <w:sz w:val="40"/>
          <w:szCs w:val="40"/>
        </w:rPr>
        <w:fldChar w:fldCharType="separate"/>
      </w:r>
      <w:proofErr w:type="spellStart"/>
      <w:r w:rsidR="00A15F30" w:rsidRPr="00A15F30">
        <w:rPr>
          <w:rFonts w:ascii="Times New Roman" w:eastAsia="Times New Roman" w:hAnsi="Times New Roman" w:cs="Times New Roman"/>
          <w:b/>
          <w:bCs/>
          <w:kern w:val="36"/>
          <w:sz w:val="40"/>
          <w:szCs w:val="40"/>
          <w:u w:val="single"/>
        </w:rPr>
        <w:t>S</w:t>
      </w:r>
      <w:r w:rsidR="007C4A68" w:rsidRPr="00A15F30">
        <w:rPr>
          <w:rFonts w:ascii="Times New Roman" w:eastAsia="Times New Roman" w:hAnsi="Times New Roman" w:cs="Times New Roman"/>
          <w:b/>
          <w:bCs/>
          <w:kern w:val="36"/>
          <w:sz w:val="40"/>
          <w:szCs w:val="40"/>
          <w:u w:val="single"/>
        </w:rPr>
        <w:t>upremecourtcase</w:t>
      </w:r>
      <w:proofErr w:type="spellEnd"/>
      <w:r w:rsidRPr="00A15F30">
        <w:rPr>
          <w:rFonts w:ascii="Times New Roman" w:eastAsia="Times New Roman" w:hAnsi="Times New Roman" w:cs="Times New Roman"/>
          <w:b/>
          <w:bCs/>
          <w:kern w:val="36"/>
          <w:sz w:val="40"/>
          <w:szCs w:val="40"/>
        </w:rPr>
        <w:fldChar w:fldCharType="end"/>
      </w:r>
      <w:r w:rsidR="007C4A68" w:rsidRPr="00A15F30">
        <w:rPr>
          <w:rFonts w:ascii="Times New Roman" w:eastAsia="Times New Roman" w:hAnsi="Times New Roman" w:cs="Times New Roman"/>
          <w:b/>
          <w:bCs/>
          <w:kern w:val="36"/>
          <w:sz w:val="40"/>
          <w:szCs w:val="40"/>
        </w:rPr>
        <w:t xml:space="preserve"> </w:t>
      </w:r>
      <w:hyperlink r:id="rId5" w:history="1">
        <w:r w:rsidR="007C4A68" w:rsidRPr="00A15F30">
          <w:rPr>
            <w:rFonts w:ascii="Times New Roman" w:eastAsia="Times New Roman" w:hAnsi="Times New Roman" w:cs="Times New Roman"/>
            <w:b/>
            <w:bCs/>
            <w:kern w:val="36"/>
            <w:sz w:val="40"/>
            <w:szCs w:val="40"/>
            <w:u w:val="single"/>
          </w:rPr>
          <w:t>Docket and record, Houston and Lufkin Division Federal tax cases</w:t>
        </w:r>
      </w:hyperlink>
      <w:r w:rsidR="00A15F30" w:rsidRPr="00A15F30">
        <w:rPr>
          <w:rFonts w:ascii="Times New Roman" w:eastAsia="Times New Roman" w:hAnsi="Times New Roman" w:cs="Times New Roman"/>
          <w:b/>
          <w:bCs/>
          <w:kern w:val="36"/>
          <w:sz w:val="40"/>
          <w:szCs w:val="40"/>
          <w:u w:val="single"/>
        </w:rPr>
        <w:t xml:space="preserve"> Dec 2015</w:t>
      </w:r>
    </w:p>
    <w:p w:rsidR="007C4A68" w:rsidRDefault="007C4A68" w:rsidP="007C4A68">
      <w:pPr>
        <w:spacing w:after="0"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https://supremecourtcase.wordpress.com/</w:t>
      </w:r>
    </w:p>
    <w:p w:rsidR="007C4A68" w:rsidRDefault="007C4A68" w:rsidP="007C4A68">
      <w:pPr>
        <w:spacing w:after="0" w:line="240" w:lineRule="auto"/>
        <w:rPr>
          <w:rFonts w:ascii="Times New Roman" w:eastAsia="Times New Roman" w:hAnsi="Times New Roman" w:cs="Times New Roman"/>
          <w:sz w:val="24"/>
          <w:szCs w:val="24"/>
        </w:rPr>
      </w:pPr>
    </w:p>
    <w:p w:rsidR="007C4A68" w:rsidRDefault="007C4A68" w:rsidP="007C4A68">
      <w:pPr>
        <w:spacing w:after="0" w:line="240" w:lineRule="auto"/>
        <w:rPr>
          <w:rFonts w:ascii="Times New Roman" w:eastAsia="Times New Roman" w:hAnsi="Times New Roman" w:cs="Times New Roman"/>
          <w:sz w:val="24"/>
          <w:szCs w:val="24"/>
        </w:rPr>
      </w:pPr>
    </w:p>
    <w:p w:rsidR="007C4A68" w:rsidRPr="007C4A68" w:rsidRDefault="006A45A0" w:rsidP="007C4A68">
      <w:pPr>
        <w:spacing w:after="0" w:line="240" w:lineRule="auto"/>
        <w:rPr>
          <w:rFonts w:ascii="Times New Roman" w:eastAsia="Times New Roman" w:hAnsi="Times New Roman" w:cs="Times New Roman"/>
          <w:sz w:val="24"/>
          <w:szCs w:val="24"/>
        </w:rPr>
      </w:pPr>
      <w:hyperlink r:id="rId6" w:tooltip="20:42" w:history="1">
        <w:r w:rsidR="007C4A68" w:rsidRPr="007C4A68">
          <w:rPr>
            <w:rFonts w:ascii="Times New Roman" w:eastAsia="Times New Roman" w:hAnsi="Times New Roman" w:cs="Times New Roman"/>
            <w:color w:val="0000FF"/>
            <w:sz w:val="24"/>
            <w:szCs w:val="24"/>
            <w:u w:val="single"/>
          </w:rPr>
          <w:t>November 5, 2015</w:t>
        </w:r>
      </w:hyperlink>
      <w:hyperlink r:id="rId7" w:tooltip="View all posts by supremecourtcase" w:history="1">
        <w:r w:rsidR="007C4A68" w:rsidRPr="007C4A68">
          <w:rPr>
            <w:rFonts w:ascii="Times New Roman" w:eastAsia="Times New Roman" w:hAnsi="Times New Roman" w:cs="Times New Roman"/>
            <w:color w:val="0000FF"/>
            <w:sz w:val="24"/>
            <w:szCs w:val="24"/>
            <w:u w:val="single"/>
          </w:rPr>
          <w:t>supremecourtcase</w:t>
        </w:r>
      </w:hyperlink>
      <w:r w:rsidR="007C4A68" w:rsidRPr="007C4A68">
        <w:rPr>
          <w:rFonts w:ascii="Times New Roman" w:eastAsia="Times New Roman" w:hAnsi="Times New Roman" w:cs="Times New Roman"/>
          <w:sz w:val="24"/>
          <w:szCs w:val="24"/>
        </w:rPr>
        <w:t xml:space="preserve"> </w:t>
      </w:r>
      <w:hyperlink r:id="rId8" w:anchor="respond" w:history="1">
        <w:r w:rsidR="007C4A68" w:rsidRPr="007C4A68">
          <w:rPr>
            <w:rFonts w:ascii="Times New Roman" w:eastAsia="Times New Roman" w:hAnsi="Times New Roman" w:cs="Times New Roman"/>
            <w:color w:val="0000FF"/>
            <w:sz w:val="24"/>
            <w:szCs w:val="24"/>
            <w:u w:val="single"/>
          </w:rPr>
          <w:t>Leave a comment</w:t>
        </w:r>
      </w:hyperlink>
      <w:r w:rsidR="007C4A68" w:rsidRPr="007C4A68">
        <w:rPr>
          <w:rFonts w:ascii="Times New Roman" w:eastAsia="Times New Roman" w:hAnsi="Times New Roman" w:cs="Times New Roman"/>
          <w:sz w:val="24"/>
          <w:szCs w:val="24"/>
        </w:rPr>
        <w:t xml:space="preserve"> </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b/>
          <w:bCs/>
          <w:sz w:val="24"/>
          <w:szCs w:val="24"/>
          <w:u w:val="single"/>
        </w:rPr>
        <w:t xml:space="preserve">Houston Division case: </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Not until shortly after Petitioner filed in the Supreme Court did Petitioner discover the obscure artifice used by the district judge to justify pretending that Petitioner is a resident of the geographic area in which the United States District Court for the Southern District of Texas, Houston Division is authorized to exercise jurisdiction: the District of Columbia.</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You did not misunderstand the previous sentence.</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The only geographic area in which any contemporary United States District Court in America has jurisdiction is the District of Columbia.</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The supreme political authority in America is the </w:t>
      </w:r>
      <w:r w:rsidRPr="007C4A68">
        <w:rPr>
          <w:rFonts w:ascii="Times New Roman" w:eastAsia="Times New Roman" w:hAnsi="Times New Roman" w:cs="Times New Roman"/>
          <w:i/>
          <w:iCs/>
          <w:sz w:val="24"/>
          <w:szCs w:val="24"/>
        </w:rPr>
        <w:t>American People</w:t>
      </w:r>
      <w:r w:rsidRPr="007C4A68">
        <w:rPr>
          <w:rFonts w:ascii="Times New Roman" w:eastAsia="Times New Roman" w:hAnsi="Times New Roman" w:cs="Times New Roman"/>
          <w:sz w:val="24"/>
          <w:szCs w:val="24"/>
        </w:rPr>
        <w:t xml:space="preserve"> (Declaration of Independence, Conclusion; Constitution, Preamble), referred to by the Supreme Court as “joint tenants in the sovereignty”; to wit: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i/>
          <w:iCs/>
          <w:sz w:val="24"/>
          <w:szCs w:val="24"/>
        </w:rPr>
        <w:t>“[A]t the Revolution, the sovereignty devolved on the people, and they are truly the sovereigns of the country, but they are sovereigns without subjects . . . and have none to govern but themselves; the citizens of America are equal as fellow citizens, and as joint tenants in the sovereignty.” Chisholm v. Georgia, 2 U.S. 419, 471 (1793).</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The sovereign authority in the District of Columbia, however—as ordained by the American People (</w:t>
      </w:r>
      <w:r w:rsidRPr="007C4A68">
        <w:rPr>
          <w:rFonts w:ascii="Times New Roman" w:eastAsia="Times New Roman" w:hAnsi="Times New Roman" w:cs="Times New Roman"/>
          <w:sz w:val="24"/>
          <w:szCs w:val="24"/>
          <w:u w:val="single"/>
        </w:rPr>
        <w:t>the “Joint Tenants in the Sovereignty”</w:t>
      </w:r>
      <w:r w:rsidRPr="007C4A68">
        <w:rPr>
          <w:rFonts w:ascii="Times New Roman" w:eastAsia="Times New Roman" w:hAnsi="Times New Roman" w:cs="Times New Roman"/>
          <w:sz w:val="24"/>
          <w:szCs w:val="24"/>
        </w:rPr>
        <w:t>) in the Constitution (</w:t>
      </w:r>
      <w:hyperlink r:id="rId9" w:tgtFrame="_blank" w:history="1">
        <w:r w:rsidRPr="007C4A68">
          <w:rPr>
            <w:rFonts w:ascii="Times New Roman" w:eastAsia="Times New Roman" w:hAnsi="Times New Roman" w:cs="Times New Roman"/>
            <w:color w:val="0000FF"/>
            <w:sz w:val="24"/>
            <w:szCs w:val="24"/>
            <w:u w:val="single"/>
          </w:rPr>
          <w:t>Article 1 § 8(17)</w:t>
        </w:r>
      </w:hyperlink>
      <w:r w:rsidRPr="007C4A68">
        <w:rPr>
          <w:rFonts w:ascii="Times New Roman" w:eastAsia="Times New Roman" w:hAnsi="Times New Roman" w:cs="Times New Roman"/>
          <w:sz w:val="24"/>
          <w:szCs w:val="24"/>
        </w:rPr>
        <w:t xml:space="preserve">)—is </w:t>
      </w:r>
      <w:r w:rsidRPr="007C4A68">
        <w:rPr>
          <w:rFonts w:ascii="Times New Roman" w:eastAsia="Times New Roman" w:hAnsi="Times New Roman" w:cs="Times New Roman"/>
          <w:i/>
          <w:iCs/>
          <w:sz w:val="24"/>
          <w:szCs w:val="24"/>
        </w:rPr>
        <w:t>Congress</w:t>
      </w:r>
      <w:r w:rsidRPr="007C4A68">
        <w:rPr>
          <w:rFonts w:ascii="Times New Roman" w:eastAsia="Times New Roman" w:hAnsi="Times New Roman" w:cs="Times New Roman"/>
          <w:sz w:val="24"/>
          <w:szCs w:val="24"/>
        </w:rPr>
        <w: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Whereas, there is no provision of the Constitution that authorizes Congress to legislate rules or regulations (statutes) against Joint Tenants in the Sovereignty, this is not so with residents of the District of Columbia—who are subject to any legislation Congress may impose on them.</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To ensnare Joint Tenants in the Sovereignty in the banker-contrived artifice of income tax in behalf of their banker creditor, Congress enacted recondite</w:t>
      </w:r>
      <w:bookmarkStart w:id="0" w:name="_ftnref1"/>
      <w:r w:rsidR="006A45A0" w:rsidRPr="007C4A68">
        <w:rPr>
          <w:rFonts w:ascii="Times New Roman" w:eastAsia="Times New Roman" w:hAnsi="Times New Roman" w:cs="Times New Roman"/>
          <w:sz w:val="24"/>
          <w:szCs w:val="24"/>
        </w:rPr>
        <w:fldChar w:fldCharType="begin"/>
      </w:r>
      <w:r w:rsidRPr="007C4A68">
        <w:rPr>
          <w:rFonts w:ascii="Times New Roman" w:eastAsia="Times New Roman" w:hAnsi="Times New Roman" w:cs="Times New Roman"/>
          <w:sz w:val="24"/>
          <w:szCs w:val="24"/>
        </w:rPr>
        <w:instrText xml:space="preserve"> HYPERLINK "https://supremecourtcase.wordpress.com/" \l "_ftn1" </w:instrText>
      </w:r>
      <w:r w:rsidR="006A45A0" w:rsidRPr="007C4A68">
        <w:rPr>
          <w:rFonts w:ascii="Times New Roman" w:eastAsia="Times New Roman" w:hAnsi="Times New Roman" w:cs="Times New Roman"/>
          <w:sz w:val="24"/>
          <w:szCs w:val="24"/>
        </w:rPr>
        <w:fldChar w:fldCharType="separate"/>
      </w:r>
      <w:r w:rsidRPr="007C4A68">
        <w:rPr>
          <w:rFonts w:ascii="Times New Roman" w:eastAsia="Times New Roman" w:hAnsi="Times New Roman" w:cs="Times New Roman"/>
          <w:color w:val="0000FF"/>
          <w:sz w:val="24"/>
          <w:szCs w:val="24"/>
          <w:u w:val="single"/>
        </w:rPr>
        <w:t>[1]</w:t>
      </w:r>
      <w:r w:rsidR="006A45A0" w:rsidRPr="007C4A68">
        <w:rPr>
          <w:rFonts w:ascii="Times New Roman" w:eastAsia="Times New Roman" w:hAnsi="Times New Roman" w:cs="Times New Roman"/>
          <w:sz w:val="24"/>
          <w:szCs w:val="24"/>
        </w:rPr>
        <w:fldChar w:fldCharType="end"/>
      </w:r>
      <w:r w:rsidRPr="007C4A68">
        <w:rPr>
          <w:rFonts w:ascii="Times New Roman" w:eastAsia="Times New Roman" w:hAnsi="Times New Roman" w:cs="Times New Roman"/>
          <w:sz w:val="24"/>
          <w:szCs w:val="24"/>
        </w:rPr>
        <w:t xml:space="preserve"> legislation that would foreclose Joint Tenants in the Sovereignty from fully comprehending the law, by transmuting certain everyday </w:t>
      </w:r>
      <w:r w:rsidRPr="007C4A68">
        <w:rPr>
          <w:rFonts w:ascii="Times New Roman" w:eastAsia="Times New Roman" w:hAnsi="Times New Roman" w:cs="Times New Roman"/>
          <w:i/>
          <w:iCs/>
          <w:sz w:val="24"/>
          <w:szCs w:val="24"/>
          <w:u w:val="single"/>
        </w:rPr>
        <w:t>words</w:t>
      </w:r>
      <w:r w:rsidRPr="007C4A68">
        <w:rPr>
          <w:rFonts w:ascii="Times New Roman" w:eastAsia="Times New Roman" w:hAnsi="Times New Roman" w:cs="Times New Roman"/>
          <w:sz w:val="24"/>
          <w:szCs w:val="24"/>
        </w:rPr>
        <w:t xml:space="preserve"> into statutory </w:t>
      </w:r>
      <w:r w:rsidRPr="007C4A68">
        <w:rPr>
          <w:rFonts w:ascii="Times New Roman" w:eastAsia="Times New Roman" w:hAnsi="Times New Roman" w:cs="Times New Roman"/>
          <w:i/>
          <w:iCs/>
          <w:sz w:val="24"/>
          <w:szCs w:val="24"/>
          <w:u w:val="single"/>
        </w:rPr>
        <w:t>terms</w:t>
      </w:r>
      <w:r w:rsidRPr="007C4A68">
        <w:rPr>
          <w:rFonts w:ascii="Times New Roman" w:eastAsia="Times New Roman" w:hAnsi="Times New Roman" w:cs="Times New Roman"/>
          <w:sz w:val="24"/>
          <w:szCs w:val="24"/>
        </w:rPr>
        <w:t xml:space="preserve"> with a convoluted or constitutionally opposite definition and meaning, and formulating statutes (and statutory definitions) using obscure rules of statutory construction to guarantee maximum complexity—thereby allowing Federal executive and judicial officers to operate within the “letter of the law” and justify treating Joint Tenants in the Sovereignty as residents of the District of Columbia, but without having to explain what they are doing.</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w:t>
      </w:r>
      <w:r w:rsidRPr="007C4A68">
        <w:rPr>
          <w:rFonts w:ascii="Times New Roman" w:eastAsia="Times New Roman" w:hAnsi="Times New Roman" w:cs="Times New Roman"/>
          <w:i/>
          <w:iCs/>
          <w:sz w:val="24"/>
          <w:szCs w:val="24"/>
        </w:rPr>
        <w:t xml:space="preserve">Uno </w:t>
      </w:r>
      <w:proofErr w:type="spellStart"/>
      <w:r w:rsidRPr="007C4A68">
        <w:rPr>
          <w:rFonts w:ascii="Times New Roman" w:eastAsia="Times New Roman" w:hAnsi="Times New Roman" w:cs="Times New Roman"/>
          <w:i/>
          <w:iCs/>
          <w:sz w:val="24"/>
          <w:szCs w:val="24"/>
        </w:rPr>
        <w:t>absurdo</w:t>
      </w:r>
      <w:proofErr w:type="spellEnd"/>
      <w:r w:rsidRPr="007C4A68">
        <w:rPr>
          <w:rFonts w:ascii="Times New Roman" w:eastAsia="Times New Roman" w:hAnsi="Times New Roman" w:cs="Times New Roman"/>
          <w:i/>
          <w:iCs/>
          <w:sz w:val="24"/>
          <w:szCs w:val="24"/>
        </w:rPr>
        <w:t xml:space="preserve"> </w:t>
      </w:r>
      <w:proofErr w:type="spellStart"/>
      <w:r w:rsidRPr="007C4A68">
        <w:rPr>
          <w:rFonts w:ascii="Times New Roman" w:eastAsia="Times New Roman" w:hAnsi="Times New Roman" w:cs="Times New Roman"/>
          <w:i/>
          <w:iCs/>
          <w:sz w:val="24"/>
          <w:szCs w:val="24"/>
        </w:rPr>
        <w:t>dato</w:t>
      </w:r>
      <w:proofErr w:type="spellEnd"/>
      <w:r w:rsidRPr="007C4A68">
        <w:rPr>
          <w:rFonts w:ascii="Times New Roman" w:eastAsia="Times New Roman" w:hAnsi="Times New Roman" w:cs="Times New Roman"/>
          <w:i/>
          <w:iCs/>
          <w:sz w:val="24"/>
          <w:szCs w:val="24"/>
        </w:rPr>
        <w:t xml:space="preserve">, </w:t>
      </w:r>
      <w:proofErr w:type="spellStart"/>
      <w:r w:rsidRPr="007C4A68">
        <w:rPr>
          <w:rFonts w:ascii="Times New Roman" w:eastAsia="Times New Roman" w:hAnsi="Times New Roman" w:cs="Times New Roman"/>
          <w:i/>
          <w:iCs/>
          <w:sz w:val="24"/>
          <w:szCs w:val="24"/>
        </w:rPr>
        <w:t>infinita</w:t>
      </w:r>
      <w:proofErr w:type="spellEnd"/>
      <w:r w:rsidRPr="007C4A68">
        <w:rPr>
          <w:rFonts w:ascii="Times New Roman" w:eastAsia="Times New Roman" w:hAnsi="Times New Roman" w:cs="Times New Roman"/>
          <w:i/>
          <w:iCs/>
          <w:sz w:val="24"/>
          <w:szCs w:val="24"/>
        </w:rPr>
        <w:t xml:space="preserve"> </w:t>
      </w:r>
      <w:proofErr w:type="spellStart"/>
      <w:r w:rsidRPr="007C4A68">
        <w:rPr>
          <w:rFonts w:ascii="Times New Roman" w:eastAsia="Times New Roman" w:hAnsi="Times New Roman" w:cs="Times New Roman"/>
          <w:i/>
          <w:iCs/>
          <w:sz w:val="24"/>
          <w:szCs w:val="24"/>
        </w:rPr>
        <w:t>sequuntur</w:t>
      </w:r>
      <w:proofErr w:type="spellEnd"/>
      <w:r w:rsidRPr="007C4A68">
        <w:rPr>
          <w:rFonts w:ascii="Times New Roman" w:eastAsia="Times New Roman" w:hAnsi="Times New Roman" w:cs="Times New Roman"/>
          <w:sz w:val="24"/>
          <w:szCs w:val="24"/>
        </w:rPr>
        <w:t>. One absurdity being allowed, an infinity follow,”</w:t>
      </w:r>
      <w:bookmarkStart w:id="1" w:name="_ftnref2"/>
      <w:r w:rsidR="006A45A0" w:rsidRPr="007C4A68">
        <w:rPr>
          <w:rFonts w:ascii="Times New Roman" w:eastAsia="Times New Roman" w:hAnsi="Times New Roman" w:cs="Times New Roman"/>
          <w:sz w:val="24"/>
          <w:szCs w:val="24"/>
        </w:rPr>
        <w:fldChar w:fldCharType="begin"/>
      </w:r>
      <w:r w:rsidRPr="007C4A68">
        <w:rPr>
          <w:rFonts w:ascii="Times New Roman" w:eastAsia="Times New Roman" w:hAnsi="Times New Roman" w:cs="Times New Roman"/>
          <w:sz w:val="24"/>
          <w:szCs w:val="24"/>
        </w:rPr>
        <w:instrText xml:space="preserve"> HYPERLINK "https://supremecourtcase.wordpress.com/" \l "_ftn2" </w:instrText>
      </w:r>
      <w:r w:rsidR="006A45A0" w:rsidRPr="007C4A68">
        <w:rPr>
          <w:rFonts w:ascii="Times New Roman" w:eastAsia="Times New Roman" w:hAnsi="Times New Roman" w:cs="Times New Roman"/>
          <w:sz w:val="24"/>
          <w:szCs w:val="24"/>
        </w:rPr>
        <w:fldChar w:fldCharType="separate"/>
      </w:r>
      <w:r w:rsidRPr="007C4A68">
        <w:rPr>
          <w:rFonts w:ascii="Times New Roman" w:eastAsia="Times New Roman" w:hAnsi="Times New Roman" w:cs="Times New Roman"/>
          <w:color w:val="0000FF"/>
          <w:sz w:val="24"/>
          <w:szCs w:val="24"/>
          <w:u w:val="single"/>
        </w:rPr>
        <w:t>[2]</w:t>
      </w:r>
      <w:r w:rsidR="006A45A0" w:rsidRPr="007C4A68">
        <w:rPr>
          <w:rFonts w:ascii="Times New Roman" w:eastAsia="Times New Roman" w:hAnsi="Times New Roman" w:cs="Times New Roman"/>
          <w:sz w:val="24"/>
          <w:szCs w:val="24"/>
        </w:rPr>
        <w:fldChar w:fldCharType="end"/>
      </w:r>
      <w:r w:rsidRPr="007C4A68">
        <w:rPr>
          <w:rFonts w:ascii="Times New Roman" w:eastAsia="Times New Roman" w:hAnsi="Times New Roman" w:cs="Times New Roman"/>
          <w:sz w:val="24"/>
          <w:szCs w:val="24"/>
        </w:rPr>
        <w:t> and today we are dealing, literally, with an infinity of absurdities foisted upon us in the wake of the initial absurdity perpetrated by Congress June 30, 1864 (described in detail in both the Houston and Lufkin Record).</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On that date, Congress quietly decreed that the word “state” (and shortly thereafter “State” and “United States”) means </w:t>
      </w:r>
      <w:r w:rsidRPr="007C4A68">
        <w:rPr>
          <w:rFonts w:ascii="Times New Roman" w:eastAsia="Times New Roman" w:hAnsi="Times New Roman" w:cs="Times New Roman"/>
          <w:i/>
          <w:iCs/>
          <w:sz w:val="24"/>
          <w:szCs w:val="24"/>
        </w:rPr>
        <w:t>“the territories and the District of Columbia”</w:t>
      </w:r>
      <w:r w:rsidRPr="007C4A68">
        <w:rPr>
          <w:rFonts w:ascii="Times New Roman" w:eastAsia="Times New Roman" w:hAnsi="Times New Roman" w:cs="Times New Roman"/>
          <w:sz w:val="24"/>
          <w:szCs w:val="24"/>
        </w:rPr>
        <w:t xml:space="preserve"> (</w:t>
      </w:r>
      <w:hyperlink r:id="rId10" w:tgtFrame="_blank" w:history="1">
        <w:r w:rsidRPr="007C4A68">
          <w:rPr>
            <w:rFonts w:ascii="Times New Roman" w:eastAsia="Times New Roman" w:hAnsi="Times New Roman" w:cs="Times New Roman"/>
            <w:color w:val="0000FF"/>
            <w:sz w:val="24"/>
            <w:szCs w:val="24"/>
            <w:u w:val="single"/>
          </w:rPr>
          <w:t xml:space="preserve">13 Stat. 223, 306, </w:t>
        </w:r>
        <w:proofErr w:type="spellStart"/>
        <w:r w:rsidRPr="007C4A68">
          <w:rPr>
            <w:rFonts w:ascii="Times New Roman" w:eastAsia="Times New Roman" w:hAnsi="Times New Roman" w:cs="Times New Roman"/>
            <w:color w:val="0000FF"/>
            <w:sz w:val="24"/>
            <w:szCs w:val="24"/>
            <w:u w:val="single"/>
          </w:rPr>
          <w:t>ch</w:t>
        </w:r>
        <w:proofErr w:type="spellEnd"/>
        <w:r w:rsidRPr="007C4A68">
          <w:rPr>
            <w:rFonts w:ascii="Times New Roman" w:eastAsia="Times New Roman" w:hAnsi="Times New Roman" w:cs="Times New Roman"/>
            <w:color w:val="0000FF"/>
            <w:sz w:val="24"/>
            <w:szCs w:val="24"/>
            <w:u w:val="single"/>
          </w:rPr>
          <w:t>. 173, sec. 182, June 30, 1864 [</w:t>
        </w:r>
        <w:r w:rsidRPr="007C4A68">
          <w:rPr>
            <w:rFonts w:ascii="Times New Roman" w:eastAsia="Times New Roman" w:hAnsi="Times New Roman" w:cs="Times New Roman"/>
            <w:i/>
            <w:iCs/>
            <w:color w:val="0000FF"/>
            <w:sz w:val="24"/>
            <w:szCs w:val="24"/>
            <w:u w:val="single"/>
          </w:rPr>
          <w:t>Go to</w:t>
        </w:r>
        <w:r w:rsidRPr="007C4A68">
          <w:rPr>
            <w:rFonts w:ascii="Times New Roman" w:eastAsia="Times New Roman" w:hAnsi="Times New Roman" w:cs="Times New Roman"/>
            <w:color w:val="0000FF"/>
            <w:sz w:val="24"/>
            <w:szCs w:val="24"/>
            <w:u w:val="single"/>
          </w:rPr>
          <w:t xml:space="preserve"> “Turn to image” 306</w:t>
        </w:r>
      </w:hyperlink>
      <w:r w:rsidRPr="007C4A68">
        <w:rPr>
          <w:rFonts w:ascii="Times New Roman" w:eastAsia="Times New Roman" w:hAnsi="Times New Roman" w:cs="Times New Roman"/>
          <w:sz w:val="24"/>
          <w:szCs w:val="24"/>
        </w:rPr>
        <w:t xml:space="preserve">])—but ultimately translates to the </w:t>
      </w:r>
      <w:r w:rsidRPr="007C4A68">
        <w:rPr>
          <w:rFonts w:ascii="Times New Roman" w:eastAsia="Times New Roman" w:hAnsi="Times New Roman" w:cs="Times New Roman"/>
          <w:i/>
          <w:iCs/>
          <w:sz w:val="24"/>
          <w:szCs w:val="24"/>
        </w:rPr>
        <w:t>District of Columbia only</w:t>
      </w:r>
      <w:r w:rsidRPr="007C4A68">
        <w:rPr>
          <w:rFonts w:ascii="Times New Roman" w:eastAsia="Times New Roman" w:hAnsi="Times New Roman" w:cs="Times New Roman"/>
          <w:sz w:val="24"/>
          <w:szCs w:val="24"/>
        </w:rPr>
        <w:t xml:space="preserve"> and excludes by design all commonwealths united by and under authority of the Constitution and admitted into the Union.</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Since June 30, 1864, any Joint Tenant in the Sovereignty (you) who innocently believes or admits that he resides in a </w:t>
      </w:r>
      <w:r w:rsidRPr="007C4A68">
        <w:rPr>
          <w:rFonts w:ascii="Times New Roman" w:eastAsia="Times New Roman" w:hAnsi="Times New Roman" w:cs="Times New Roman"/>
          <w:i/>
          <w:iCs/>
          <w:sz w:val="24"/>
          <w:szCs w:val="24"/>
        </w:rPr>
        <w:t>state</w:t>
      </w:r>
      <w:r w:rsidRPr="007C4A68">
        <w:rPr>
          <w:rFonts w:ascii="Times New Roman" w:eastAsia="Times New Roman" w:hAnsi="Times New Roman" w:cs="Times New Roman"/>
          <w:sz w:val="24"/>
          <w:szCs w:val="24"/>
        </w:rPr>
        <w:t xml:space="preserve">, </w:t>
      </w:r>
      <w:r w:rsidRPr="007C4A68">
        <w:rPr>
          <w:rFonts w:ascii="Times New Roman" w:eastAsia="Times New Roman" w:hAnsi="Times New Roman" w:cs="Times New Roman"/>
          <w:i/>
          <w:iCs/>
          <w:sz w:val="24"/>
          <w:szCs w:val="24"/>
        </w:rPr>
        <w:t>State</w:t>
      </w:r>
      <w:r w:rsidRPr="007C4A68">
        <w:rPr>
          <w:rFonts w:ascii="Times New Roman" w:eastAsia="Times New Roman" w:hAnsi="Times New Roman" w:cs="Times New Roman"/>
          <w:sz w:val="24"/>
          <w:szCs w:val="24"/>
        </w:rPr>
        <w:t xml:space="preserve">, or the </w:t>
      </w:r>
      <w:r w:rsidRPr="007C4A68">
        <w:rPr>
          <w:rFonts w:ascii="Times New Roman" w:eastAsia="Times New Roman" w:hAnsi="Times New Roman" w:cs="Times New Roman"/>
          <w:i/>
          <w:iCs/>
          <w:sz w:val="24"/>
          <w:szCs w:val="24"/>
        </w:rPr>
        <w:t>United States</w:t>
      </w:r>
      <w:r w:rsidRPr="007C4A68">
        <w:rPr>
          <w:rFonts w:ascii="Times New Roman" w:eastAsia="Times New Roman" w:hAnsi="Times New Roman" w:cs="Times New Roman"/>
          <w:sz w:val="24"/>
          <w:szCs w:val="24"/>
        </w:rPr>
        <w:t>, unwittingly confesses or concedes that he is a resident of the District of Columbia—and subject to the absolute, exclusive legislative power of Congress and jurisdiction of District of Columbia executive and bench officers (Department of Justice attorneys and United States District Judges and Magistrates).</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Congress incorporated the District of Columbia as a municipal corporation February 21, 1871,</w:t>
      </w:r>
      <w:bookmarkStart w:id="2" w:name="_ftnref3"/>
      <w:r w:rsidR="006A45A0" w:rsidRPr="007C4A68">
        <w:rPr>
          <w:rFonts w:ascii="Times New Roman" w:eastAsia="Times New Roman" w:hAnsi="Times New Roman" w:cs="Times New Roman"/>
          <w:sz w:val="24"/>
          <w:szCs w:val="24"/>
        </w:rPr>
        <w:fldChar w:fldCharType="begin"/>
      </w:r>
      <w:r w:rsidRPr="007C4A68">
        <w:rPr>
          <w:rFonts w:ascii="Times New Roman" w:eastAsia="Times New Roman" w:hAnsi="Times New Roman" w:cs="Times New Roman"/>
          <w:sz w:val="24"/>
          <w:szCs w:val="24"/>
        </w:rPr>
        <w:instrText xml:space="preserve"> HYPERLINK "https://supremecourtcase.wordpress.com/" \l "_ftn3" </w:instrText>
      </w:r>
      <w:r w:rsidR="006A45A0" w:rsidRPr="007C4A68">
        <w:rPr>
          <w:rFonts w:ascii="Times New Roman" w:eastAsia="Times New Roman" w:hAnsi="Times New Roman" w:cs="Times New Roman"/>
          <w:sz w:val="24"/>
          <w:szCs w:val="24"/>
        </w:rPr>
        <w:fldChar w:fldCharType="separate"/>
      </w:r>
      <w:r w:rsidRPr="007C4A68">
        <w:rPr>
          <w:rFonts w:ascii="Times New Roman" w:eastAsia="Times New Roman" w:hAnsi="Times New Roman" w:cs="Times New Roman"/>
          <w:color w:val="0000FF"/>
          <w:sz w:val="24"/>
          <w:szCs w:val="24"/>
          <w:u w:val="single"/>
        </w:rPr>
        <w:t>[3]</w:t>
      </w:r>
      <w:r w:rsidR="006A45A0" w:rsidRPr="007C4A68">
        <w:rPr>
          <w:rFonts w:ascii="Times New Roman" w:eastAsia="Times New Roman" w:hAnsi="Times New Roman" w:cs="Times New Roman"/>
          <w:sz w:val="24"/>
          <w:szCs w:val="24"/>
        </w:rPr>
        <w:fldChar w:fldCharType="end"/>
      </w:r>
      <w:r w:rsidRPr="007C4A68">
        <w:rPr>
          <w:rFonts w:ascii="Times New Roman" w:eastAsia="Times New Roman" w:hAnsi="Times New Roman" w:cs="Times New Roman"/>
          <w:sz w:val="24"/>
          <w:szCs w:val="24"/>
        </w:rPr>
        <w:t> and have ruled the District of Columbia under municipal (Roman civil) law ever since.</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Petitioner had the Houston Division case won following Petitioner’s initial March 19, 2014, motion to dismiss for lack of jurisdiction (Houston Docket #18)—because there was no evidence in the record that Petitioner was a resident of the only statutory “State” of the statutory “United States” whose residents are liable to tax under Title 26 U.S.C.: the District of Columbia.</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The judge stacked the deck against Petitioner by commanding </w:t>
      </w:r>
      <w:proofErr w:type="spellStart"/>
      <w:r w:rsidRPr="007C4A68">
        <w:rPr>
          <w:rFonts w:ascii="Times New Roman" w:eastAsia="Times New Roman" w:hAnsi="Times New Roman" w:cs="Times New Roman"/>
          <w:i/>
          <w:iCs/>
          <w:sz w:val="24"/>
          <w:szCs w:val="24"/>
        </w:rPr>
        <w:t>sua</w:t>
      </w:r>
      <w:proofErr w:type="spellEnd"/>
      <w:r w:rsidRPr="007C4A68">
        <w:rPr>
          <w:rFonts w:ascii="Times New Roman" w:eastAsia="Times New Roman" w:hAnsi="Times New Roman" w:cs="Times New Roman"/>
          <w:i/>
          <w:iCs/>
          <w:sz w:val="24"/>
          <w:szCs w:val="24"/>
        </w:rPr>
        <w:t xml:space="preserve"> </w:t>
      </w:r>
      <w:proofErr w:type="spellStart"/>
      <w:r w:rsidRPr="007C4A68">
        <w:rPr>
          <w:rFonts w:ascii="Times New Roman" w:eastAsia="Times New Roman" w:hAnsi="Times New Roman" w:cs="Times New Roman"/>
          <w:i/>
          <w:iCs/>
          <w:sz w:val="24"/>
          <w:szCs w:val="24"/>
        </w:rPr>
        <w:t>sponte</w:t>
      </w:r>
      <w:bookmarkStart w:id="3" w:name="_ftnref4"/>
      <w:proofErr w:type="spellEnd"/>
      <w:r w:rsidR="006A45A0" w:rsidRPr="007C4A68">
        <w:rPr>
          <w:rFonts w:ascii="Times New Roman" w:eastAsia="Times New Roman" w:hAnsi="Times New Roman" w:cs="Times New Roman"/>
          <w:sz w:val="24"/>
          <w:szCs w:val="24"/>
        </w:rPr>
        <w:fldChar w:fldCharType="begin"/>
      </w:r>
      <w:r w:rsidRPr="007C4A68">
        <w:rPr>
          <w:rFonts w:ascii="Times New Roman" w:eastAsia="Times New Roman" w:hAnsi="Times New Roman" w:cs="Times New Roman"/>
          <w:sz w:val="24"/>
          <w:szCs w:val="24"/>
        </w:rPr>
        <w:instrText xml:space="preserve"> HYPERLINK "https://supremecourtcase.wordpress.com/" \l "_ftn4" </w:instrText>
      </w:r>
      <w:r w:rsidR="006A45A0" w:rsidRPr="007C4A68">
        <w:rPr>
          <w:rFonts w:ascii="Times New Roman" w:eastAsia="Times New Roman" w:hAnsi="Times New Roman" w:cs="Times New Roman"/>
          <w:sz w:val="24"/>
          <w:szCs w:val="24"/>
        </w:rPr>
        <w:fldChar w:fldCharType="separate"/>
      </w:r>
      <w:r w:rsidRPr="007C4A68">
        <w:rPr>
          <w:rFonts w:ascii="Times New Roman" w:eastAsia="Times New Roman" w:hAnsi="Times New Roman" w:cs="Times New Roman"/>
          <w:color w:val="0000FF"/>
          <w:sz w:val="24"/>
          <w:szCs w:val="24"/>
          <w:u w:val="single"/>
        </w:rPr>
        <w:t>[4]</w:t>
      </w:r>
      <w:r w:rsidR="006A45A0" w:rsidRPr="007C4A68">
        <w:rPr>
          <w:rFonts w:ascii="Times New Roman" w:eastAsia="Times New Roman" w:hAnsi="Times New Roman" w:cs="Times New Roman"/>
          <w:sz w:val="24"/>
          <w:szCs w:val="24"/>
        </w:rPr>
        <w:fldChar w:fldCharType="end"/>
      </w:r>
      <w:r w:rsidRPr="007C4A68">
        <w:rPr>
          <w:rFonts w:ascii="Times New Roman" w:eastAsia="Times New Roman" w:hAnsi="Times New Roman" w:cs="Times New Roman"/>
          <w:sz w:val="24"/>
          <w:szCs w:val="24"/>
        </w:rPr>
        <w:t xml:space="preserve"> the DOJ attorney to file in the record what the judge would use </w:t>
      </w:r>
      <w:r w:rsidRPr="007C4A68">
        <w:rPr>
          <w:rFonts w:ascii="Times New Roman" w:eastAsia="Times New Roman" w:hAnsi="Times New Roman" w:cs="Times New Roman"/>
          <w:i/>
          <w:iCs/>
          <w:sz w:val="24"/>
          <w:szCs w:val="24"/>
        </w:rPr>
        <w:t xml:space="preserve">sub </w:t>
      </w:r>
      <w:proofErr w:type="spellStart"/>
      <w:r w:rsidRPr="007C4A68">
        <w:rPr>
          <w:rFonts w:ascii="Times New Roman" w:eastAsia="Times New Roman" w:hAnsi="Times New Roman" w:cs="Times New Roman"/>
          <w:i/>
          <w:iCs/>
          <w:sz w:val="24"/>
          <w:szCs w:val="24"/>
        </w:rPr>
        <w:t>silentio</w:t>
      </w:r>
      <w:bookmarkStart w:id="4" w:name="_ftnref5"/>
      <w:proofErr w:type="spellEnd"/>
      <w:r w:rsidR="006A45A0" w:rsidRPr="007C4A68">
        <w:rPr>
          <w:rFonts w:ascii="Times New Roman" w:eastAsia="Times New Roman" w:hAnsi="Times New Roman" w:cs="Times New Roman"/>
          <w:sz w:val="24"/>
          <w:szCs w:val="24"/>
        </w:rPr>
        <w:fldChar w:fldCharType="begin"/>
      </w:r>
      <w:r w:rsidRPr="007C4A68">
        <w:rPr>
          <w:rFonts w:ascii="Times New Roman" w:eastAsia="Times New Roman" w:hAnsi="Times New Roman" w:cs="Times New Roman"/>
          <w:sz w:val="24"/>
          <w:szCs w:val="24"/>
        </w:rPr>
        <w:instrText xml:space="preserve"> HYPERLINK "https://supremecourtcase.wordpress.com/" \l "_ftn5" </w:instrText>
      </w:r>
      <w:r w:rsidR="006A45A0" w:rsidRPr="007C4A68">
        <w:rPr>
          <w:rFonts w:ascii="Times New Roman" w:eastAsia="Times New Roman" w:hAnsi="Times New Roman" w:cs="Times New Roman"/>
          <w:sz w:val="24"/>
          <w:szCs w:val="24"/>
        </w:rPr>
        <w:fldChar w:fldCharType="separate"/>
      </w:r>
      <w:r w:rsidRPr="007C4A68">
        <w:rPr>
          <w:rFonts w:ascii="Times New Roman" w:eastAsia="Times New Roman" w:hAnsi="Times New Roman" w:cs="Times New Roman"/>
          <w:color w:val="0000FF"/>
          <w:sz w:val="24"/>
          <w:szCs w:val="24"/>
          <w:u w:val="single"/>
        </w:rPr>
        <w:t>[5]</w:t>
      </w:r>
      <w:r w:rsidR="006A45A0" w:rsidRPr="007C4A68">
        <w:rPr>
          <w:rFonts w:ascii="Times New Roman" w:eastAsia="Times New Roman" w:hAnsi="Times New Roman" w:cs="Times New Roman"/>
          <w:sz w:val="24"/>
          <w:szCs w:val="24"/>
        </w:rPr>
        <w:fldChar w:fldCharType="end"/>
      </w:r>
      <w:r w:rsidRPr="007C4A68">
        <w:rPr>
          <w:rFonts w:ascii="Times New Roman" w:eastAsia="Times New Roman" w:hAnsi="Times New Roman" w:cs="Times New Roman"/>
          <w:sz w:val="24"/>
          <w:szCs w:val="24"/>
        </w:rPr>
        <w:t> to justify pretending that he was authorized to treat Petitioner as a resident of the District of Columbia: one of Petitioner’s tax returns.</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Courtesy of Congress, the filing of a tax return is one of an indefinite number of undefined “</w:t>
      </w:r>
      <w:r w:rsidRPr="007C4A68">
        <w:rPr>
          <w:rFonts w:ascii="Times New Roman" w:eastAsia="Times New Roman" w:hAnsi="Times New Roman" w:cs="Times New Roman"/>
          <w:i/>
          <w:iCs/>
          <w:sz w:val="24"/>
          <w:szCs w:val="24"/>
        </w:rPr>
        <w:t>acts or statements”</w:t>
      </w:r>
      <w:r w:rsidRPr="007C4A68">
        <w:rPr>
          <w:rFonts w:ascii="Times New Roman" w:eastAsia="Times New Roman" w:hAnsi="Times New Roman" w:cs="Times New Roman"/>
          <w:sz w:val="24"/>
          <w:szCs w:val="24"/>
        </w:rPr>
        <w:t xml:space="preserve"> that purportedly prove </w:t>
      </w:r>
      <w:r w:rsidRPr="007C4A68">
        <w:rPr>
          <w:rFonts w:ascii="Times New Roman" w:eastAsia="Times New Roman" w:hAnsi="Times New Roman" w:cs="Times New Roman"/>
          <w:i/>
          <w:iCs/>
          <w:sz w:val="24"/>
          <w:szCs w:val="24"/>
        </w:rPr>
        <w:t>“a definite intention to acquire residence in the [</w:t>
      </w:r>
      <w:r w:rsidRPr="007C4A68">
        <w:rPr>
          <w:rFonts w:ascii="Times New Roman" w:eastAsia="Times New Roman" w:hAnsi="Times New Roman" w:cs="Times New Roman"/>
          <w:i/>
          <w:iCs/>
          <w:sz w:val="24"/>
          <w:szCs w:val="24"/>
          <w:u w:val="single"/>
        </w:rPr>
        <w:t>statutory</w:t>
      </w:r>
      <w:r w:rsidRPr="007C4A68">
        <w:rPr>
          <w:rFonts w:ascii="Times New Roman" w:eastAsia="Times New Roman" w:hAnsi="Times New Roman" w:cs="Times New Roman"/>
          <w:i/>
          <w:iCs/>
          <w:sz w:val="24"/>
          <w:szCs w:val="24"/>
        </w:rPr>
        <w:t>] United States”</w:t>
      </w:r>
      <w:r w:rsidRPr="007C4A68">
        <w:rPr>
          <w:rFonts w:ascii="Times New Roman" w:eastAsia="Times New Roman" w:hAnsi="Times New Roman" w:cs="Times New Roman"/>
          <w:sz w:val="24"/>
          <w:szCs w:val="24"/>
        </w:rPr>
        <w:t xml:space="preserve"> (</w:t>
      </w:r>
      <w:hyperlink r:id="rId11" w:tgtFrame="_blank" w:history="1">
        <w:r w:rsidRPr="007C4A68">
          <w:rPr>
            <w:rFonts w:ascii="Times New Roman" w:eastAsia="Times New Roman" w:hAnsi="Times New Roman" w:cs="Times New Roman"/>
            <w:color w:val="0000FF"/>
            <w:sz w:val="24"/>
            <w:szCs w:val="24"/>
            <w:u w:val="single"/>
          </w:rPr>
          <w:t>26 C.F.R. 1.871-4(c)(2)(iii)</w:t>
        </w:r>
      </w:hyperlink>
      <w:r w:rsidRPr="007C4A68">
        <w:rPr>
          <w:rFonts w:ascii="Times New Roman" w:eastAsia="Times New Roman" w:hAnsi="Times New Roman" w:cs="Times New Roman"/>
          <w:sz w:val="24"/>
          <w:szCs w:val="24"/>
        </w:rPr>
        <w:t>), i.e., the District of Columbia.</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In combination with legally defective congressional legislation at </w:t>
      </w:r>
      <w:hyperlink r:id="rId12" w:tgtFrame="_blank" w:history="1">
        <w:r w:rsidRPr="007C4A68">
          <w:rPr>
            <w:rFonts w:ascii="Times New Roman" w:eastAsia="Times New Roman" w:hAnsi="Times New Roman" w:cs="Times New Roman"/>
            <w:color w:val="0000FF"/>
            <w:sz w:val="24"/>
            <w:szCs w:val="24"/>
            <w:u w:val="single"/>
          </w:rPr>
          <w:t>26 U.S.C. 6013(g) and (h)</w:t>
        </w:r>
      </w:hyperlink>
      <w:r w:rsidRPr="007C4A68">
        <w:rPr>
          <w:rFonts w:ascii="Times New Roman" w:eastAsia="Times New Roman" w:hAnsi="Times New Roman" w:cs="Times New Roman"/>
          <w:sz w:val="24"/>
          <w:szCs w:val="24"/>
        </w:rPr>
        <w:t>, actors in government pretend that the filing of a tax return constitutes one’s voluntary election (choice) to be treated as a resident of the District of Columbia, and thereafter pretend that they are authorized to treat the filer as such without disclosing what they are doing.</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The only flaw is that an alleged </w:t>
      </w:r>
      <w:r w:rsidRPr="007C4A68">
        <w:rPr>
          <w:rFonts w:ascii="Times New Roman" w:eastAsia="Times New Roman" w:hAnsi="Times New Roman" w:cs="Times New Roman"/>
          <w:i/>
          <w:iCs/>
          <w:sz w:val="24"/>
          <w:szCs w:val="24"/>
        </w:rPr>
        <w:t>“definite intention to acquire residence”</w:t>
      </w:r>
      <w:r w:rsidRPr="007C4A68">
        <w:rPr>
          <w:rFonts w:ascii="Times New Roman" w:eastAsia="Times New Roman" w:hAnsi="Times New Roman" w:cs="Times New Roman"/>
          <w:sz w:val="24"/>
          <w:szCs w:val="24"/>
        </w:rPr>
        <w:t xml:space="preserve"> is insufficient legal ground in and of itself for someone to acquire or be granted residence or be treated by a government officer as a resident of a given place.</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Under such logic, every non-American crossing the border into America without authorization could claim the right to be treated as a resident (Note: There is no substantial difference between being </w:t>
      </w:r>
      <w:r w:rsidRPr="007C4A68">
        <w:rPr>
          <w:rFonts w:ascii="Times New Roman" w:eastAsia="Times New Roman" w:hAnsi="Times New Roman" w:cs="Times New Roman"/>
          <w:i/>
          <w:iCs/>
          <w:sz w:val="24"/>
          <w:szCs w:val="24"/>
        </w:rPr>
        <w:t>treated</w:t>
      </w:r>
      <w:r w:rsidRPr="007C4A68">
        <w:rPr>
          <w:rFonts w:ascii="Times New Roman" w:eastAsia="Times New Roman" w:hAnsi="Times New Roman" w:cs="Times New Roman"/>
          <w:sz w:val="24"/>
          <w:szCs w:val="24"/>
        </w:rPr>
        <w:t xml:space="preserve"> as a resident and </w:t>
      </w:r>
      <w:r w:rsidRPr="007C4A68">
        <w:rPr>
          <w:rFonts w:ascii="Times New Roman" w:eastAsia="Times New Roman" w:hAnsi="Times New Roman" w:cs="Times New Roman"/>
          <w:i/>
          <w:iCs/>
          <w:sz w:val="24"/>
          <w:szCs w:val="24"/>
        </w:rPr>
        <w:t>being</w:t>
      </w:r>
      <w:r w:rsidRPr="007C4A68">
        <w:rPr>
          <w:rFonts w:ascii="Times New Roman" w:eastAsia="Times New Roman" w:hAnsi="Times New Roman" w:cs="Times New Roman"/>
          <w:sz w:val="24"/>
          <w:szCs w:val="24"/>
        </w:rPr>
        <w:t xml:space="preserve"> a resident).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Residence depends on </w:t>
      </w:r>
      <w:r w:rsidRPr="007C4A68">
        <w:rPr>
          <w:rFonts w:ascii="Times New Roman" w:eastAsia="Times New Roman" w:hAnsi="Times New Roman" w:cs="Times New Roman"/>
          <w:i/>
          <w:iCs/>
          <w:sz w:val="24"/>
          <w:szCs w:val="24"/>
        </w:rPr>
        <w:t>facts</w:t>
      </w:r>
      <w:r w:rsidRPr="007C4A68">
        <w:rPr>
          <w:rFonts w:ascii="Times New Roman" w:eastAsia="Times New Roman" w:hAnsi="Times New Roman" w:cs="Times New Roman"/>
          <w:sz w:val="24"/>
          <w:szCs w:val="24"/>
        </w:rPr>
        <w:t xml:space="preserve"> and is established in one of two ways: through bodily presence as an inhabitant of, or realization of earnings in, a given place / geographic area.</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The Supreme Court, whose opinions are not law per se, but have the </w:t>
      </w:r>
      <w:r w:rsidRPr="007C4A68">
        <w:rPr>
          <w:rFonts w:ascii="Times New Roman" w:eastAsia="Times New Roman" w:hAnsi="Times New Roman" w:cs="Times New Roman"/>
          <w:i/>
          <w:iCs/>
          <w:sz w:val="24"/>
          <w:szCs w:val="24"/>
        </w:rPr>
        <w:t>effect</w:t>
      </w:r>
      <w:r w:rsidRPr="007C4A68">
        <w:rPr>
          <w:rFonts w:ascii="Times New Roman" w:eastAsia="Times New Roman" w:hAnsi="Times New Roman" w:cs="Times New Roman"/>
          <w:sz w:val="24"/>
          <w:szCs w:val="24"/>
        </w:rPr>
        <w:t xml:space="preserve"> of law, affirms that no one can </w:t>
      </w:r>
      <w:r w:rsidRPr="007C4A68">
        <w:rPr>
          <w:rFonts w:ascii="Times New Roman" w:eastAsia="Times New Roman" w:hAnsi="Times New Roman" w:cs="Times New Roman"/>
          <w:i/>
          <w:iCs/>
          <w:sz w:val="24"/>
          <w:szCs w:val="24"/>
        </w:rPr>
        <w:t>elect</w:t>
      </w:r>
      <w:r w:rsidRPr="007C4A68">
        <w:rPr>
          <w:rFonts w:ascii="Times New Roman" w:eastAsia="Times New Roman" w:hAnsi="Times New Roman" w:cs="Times New Roman"/>
          <w:sz w:val="24"/>
          <w:szCs w:val="24"/>
        </w:rPr>
        <w:t xml:space="preserve"> (choose) to be treated as a resident of a particular place for the purpose of taxation (or any other purpose) without also having a factual presence in that location; to wit: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i/>
          <w:iCs/>
          <w:sz w:val="24"/>
          <w:szCs w:val="24"/>
        </w:rPr>
        <w:t xml:space="preserve">“When one intends the facts to which the law attaches consequences, he must abide the consequences whether intended or not. 13. One </w:t>
      </w:r>
      <w:proofErr w:type="spellStart"/>
      <w:r w:rsidRPr="007C4A68">
        <w:rPr>
          <w:rFonts w:ascii="Times New Roman" w:eastAsia="Times New Roman" w:hAnsi="Times New Roman" w:cs="Times New Roman"/>
          <w:i/>
          <w:iCs/>
          <w:sz w:val="24"/>
          <w:szCs w:val="24"/>
        </w:rPr>
        <w:t>can not</w:t>
      </w:r>
      <w:proofErr w:type="spellEnd"/>
      <w:r w:rsidRPr="007C4A68">
        <w:rPr>
          <w:rFonts w:ascii="Times New Roman" w:eastAsia="Times New Roman" w:hAnsi="Times New Roman" w:cs="Times New Roman"/>
          <w:i/>
          <w:iCs/>
          <w:sz w:val="24"/>
          <w:szCs w:val="24"/>
        </w:rPr>
        <w:t xml:space="preserve"> elect to make his home in one place in point of interest and attachment and for the general purposes of life, and in another, where he in fact has no residence, for the purpose of taxation. . . .” Texas v. Florida, 306 U.S. 398 (1939).</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Exercise of jurisdiction (from the Latin </w:t>
      </w:r>
      <w:proofErr w:type="spellStart"/>
      <w:r w:rsidRPr="007C4A68">
        <w:rPr>
          <w:rFonts w:ascii="Times New Roman" w:eastAsia="Times New Roman" w:hAnsi="Times New Roman" w:cs="Times New Roman"/>
          <w:i/>
          <w:iCs/>
          <w:sz w:val="24"/>
          <w:szCs w:val="24"/>
        </w:rPr>
        <w:t>jus</w:t>
      </w:r>
      <w:proofErr w:type="spellEnd"/>
      <w:r w:rsidRPr="007C4A68">
        <w:rPr>
          <w:rFonts w:ascii="Times New Roman" w:eastAsia="Times New Roman" w:hAnsi="Times New Roman" w:cs="Times New Roman"/>
          <w:sz w:val="24"/>
          <w:szCs w:val="24"/>
        </w:rPr>
        <w:t xml:space="preserve"> right, </w:t>
      </w:r>
      <w:proofErr w:type="spellStart"/>
      <w:r w:rsidRPr="007C4A68">
        <w:rPr>
          <w:rFonts w:ascii="Times New Roman" w:eastAsia="Times New Roman" w:hAnsi="Times New Roman" w:cs="Times New Roman"/>
          <w:i/>
          <w:iCs/>
          <w:sz w:val="24"/>
          <w:szCs w:val="24"/>
        </w:rPr>
        <w:t>dictio</w:t>
      </w:r>
      <w:proofErr w:type="spellEnd"/>
      <w:r w:rsidRPr="007C4A68">
        <w:rPr>
          <w:rFonts w:ascii="Times New Roman" w:eastAsia="Times New Roman" w:hAnsi="Times New Roman" w:cs="Times New Roman"/>
          <w:sz w:val="24"/>
          <w:szCs w:val="24"/>
        </w:rPr>
        <w:t xml:space="preserve"> act of saying) always is confined to a specific geographic area.</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In a judicial sense, “jurisdiction” means, essentially, the legal power, right, or authority to hear and determine causes and pronounce the sentence of the law </w:t>
      </w:r>
      <w:r w:rsidRPr="007C4A68">
        <w:rPr>
          <w:rFonts w:ascii="Times New Roman" w:eastAsia="Times New Roman" w:hAnsi="Times New Roman" w:cs="Times New Roman"/>
          <w:i/>
          <w:iCs/>
          <w:sz w:val="24"/>
          <w:szCs w:val="24"/>
          <w:u w:val="single"/>
        </w:rPr>
        <w:t>within the exterior limits of a defined geographic area</w:t>
      </w:r>
      <w:r w:rsidRPr="007C4A68">
        <w:rPr>
          <w:rFonts w:ascii="Times New Roman" w:eastAsia="Times New Roman" w:hAnsi="Times New Roman" w:cs="Times New Roman"/>
          <w:sz w:val="24"/>
          <w:szCs w:val="24"/>
        </w:rPr>
        <w: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When the Houston Division judge ruled “This court has jurisdiction” (Houston </w:t>
      </w:r>
      <w:proofErr w:type="spellStart"/>
      <w:r w:rsidRPr="007C4A68">
        <w:rPr>
          <w:rFonts w:ascii="Times New Roman" w:eastAsia="Times New Roman" w:hAnsi="Times New Roman" w:cs="Times New Roman"/>
          <w:sz w:val="24"/>
          <w:szCs w:val="24"/>
        </w:rPr>
        <w:t>Dkt</w:t>
      </w:r>
      <w:proofErr w:type="spellEnd"/>
      <w:r w:rsidRPr="007C4A68">
        <w:rPr>
          <w:rFonts w:ascii="Times New Roman" w:eastAsia="Times New Roman" w:hAnsi="Times New Roman" w:cs="Times New Roman"/>
          <w:sz w:val="24"/>
          <w:szCs w:val="24"/>
        </w:rPr>
        <w:t xml:space="preserve">. #42), he was pretending </w:t>
      </w:r>
      <w:r w:rsidRPr="007C4A68">
        <w:rPr>
          <w:rFonts w:ascii="Times New Roman" w:eastAsia="Times New Roman" w:hAnsi="Times New Roman" w:cs="Times New Roman"/>
          <w:i/>
          <w:iCs/>
          <w:sz w:val="24"/>
          <w:szCs w:val="24"/>
        </w:rPr>
        <w:t xml:space="preserve">sub </w:t>
      </w:r>
      <w:proofErr w:type="spellStart"/>
      <w:r w:rsidRPr="007C4A68">
        <w:rPr>
          <w:rFonts w:ascii="Times New Roman" w:eastAsia="Times New Roman" w:hAnsi="Times New Roman" w:cs="Times New Roman"/>
          <w:i/>
          <w:iCs/>
          <w:sz w:val="24"/>
          <w:szCs w:val="24"/>
        </w:rPr>
        <w:t>silentio</w:t>
      </w:r>
      <w:proofErr w:type="spellEnd"/>
      <w:r w:rsidRPr="007C4A68">
        <w:rPr>
          <w:rFonts w:ascii="Times New Roman" w:eastAsia="Times New Roman" w:hAnsi="Times New Roman" w:cs="Times New Roman"/>
          <w:sz w:val="24"/>
          <w:szCs w:val="24"/>
        </w:rPr>
        <w:t xml:space="preserve"> that the alleged “quasi-contractual right to treat Petitioner as a resident of the District of Columbia by reason of the Court’s unilateral application of the provisions of 26 U.S.C. 6013(g) or (h) against Petitioner” is the same thing as </w:t>
      </w:r>
      <w:r w:rsidRPr="007C4A68">
        <w:rPr>
          <w:rFonts w:ascii="Times New Roman" w:eastAsia="Times New Roman" w:hAnsi="Times New Roman" w:cs="Times New Roman"/>
          <w:i/>
          <w:iCs/>
          <w:sz w:val="24"/>
          <w:szCs w:val="24"/>
        </w:rPr>
        <w:t>jurisdiction</w:t>
      </w:r>
      <w:r w:rsidRPr="007C4A68">
        <w:rPr>
          <w:rFonts w:ascii="Times New Roman" w:eastAsia="Times New Roman" w:hAnsi="Times New Roman" w:cs="Times New Roman"/>
          <w:sz w:val="24"/>
          <w:szCs w:val="24"/>
        </w:rPr>
        <w:t>—</w:t>
      </w:r>
      <w:r w:rsidRPr="007C4A68">
        <w:rPr>
          <w:rFonts w:ascii="Times New Roman" w:eastAsia="Times New Roman" w:hAnsi="Times New Roman" w:cs="Times New Roman"/>
          <w:b/>
          <w:bCs/>
          <w:i/>
          <w:iCs/>
          <w:sz w:val="24"/>
          <w:szCs w:val="24"/>
          <w:u w:val="single"/>
        </w:rPr>
        <w:t>which it is not</w:t>
      </w:r>
      <w:r w:rsidRPr="007C4A68">
        <w:rPr>
          <w:rFonts w:ascii="Times New Roman" w:eastAsia="Times New Roman" w:hAnsi="Times New Roman" w:cs="Times New Roman"/>
          <w:sz w:val="24"/>
          <w:szCs w:val="24"/>
        </w:rPr>
        <w: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The entire Houston Division evolution was necessitated by complicity on the part of the district judge, appeals court judges, and Supreme Court justices that (1) the tax return ordered entered in evidence by the district judge is “proof” of </w:t>
      </w:r>
      <w:r w:rsidRPr="007C4A68">
        <w:rPr>
          <w:rFonts w:ascii="Times New Roman" w:eastAsia="Times New Roman" w:hAnsi="Times New Roman" w:cs="Times New Roman"/>
          <w:i/>
          <w:iCs/>
          <w:sz w:val="24"/>
          <w:szCs w:val="24"/>
        </w:rPr>
        <w:t>“a definite intention [</w:t>
      </w:r>
      <w:r w:rsidRPr="007C4A68">
        <w:rPr>
          <w:rFonts w:ascii="Times New Roman" w:eastAsia="Times New Roman" w:hAnsi="Times New Roman" w:cs="Times New Roman"/>
          <w:i/>
          <w:iCs/>
          <w:sz w:val="24"/>
          <w:szCs w:val="24"/>
          <w:u w:val="single"/>
        </w:rPr>
        <w:t>on the part of Petitioner</w:t>
      </w:r>
      <w:r w:rsidRPr="007C4A68">
        <w:rPr>
          <w:rFonts w:ascii="Times New Roman" w:eastAsia="Times New Roman" w:hAnsi="Times New Roman" w:cs="Times New Roman"/>
          <w:i/>
          <w:iCs/>
          <w:sz w:val="24"/>
          <w:szCs w:val="24"/>
        </w:rPr>
        <w:t xml:space="preserve">] to acquire residence” </w:t>
      </w:r>
      <w:r w:rsidRPr="007C4A68">
        <w:rPr>
          <w:rFonts w:ascii="Times New Roman" w:eastAsia="Times New Roman" w:hAnsi="Times New Roman" w:cs="Times New Roman"/>
          <w:sz w:val="24"/>
          <w:szCs w:val="24"/>
        </w:rPr>
        <w:t>in the District of Columbia, (2) Petitioner elected (chose), under 26 U.S.C. 6013(g) or (h), to be treated as a resident of the District of Columbia for purposes of tax under Chapters 1 and 24 of Title 26 U.S.C., and (3) the district judge is authorized to treat Petitioner as a resident of the District of Columbia and conceal from Petitioner the legal authority he is using to do it.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It took Petitioner over 19 months in the Houston Division, Fifth Circuit, Supreme Court, and Lufkin Division cases</w:t>
      </w:r>
      <w:bookmarkStart w:id="5" w:name="_ftnref6"/>
      <w:r w:rsidR="006A45A0" w:rsidRPr="007C4A68">
        <w:rPr>
          <w:rFonts w:ascii="Times New Roman" w:eastAsia="Times New Roman" w:hAnsi="Times New Roman" w:cs="Times New Roman"/>
          <w:sz w:val="24"/>
          <w:szCs w:val="24"/>
        </w:rPr>
        <w:fldChar w:fldCharType="begin"/>
      </w:r>
      <w:r w:rsidRPr="007C4A68">
        <w:rPr>
          <w:rFonts w:ascii="Times New Roman" w:eastAsia="Times New Roman" w:hAnsi="Times New Roman" w:cs="Times New Roman"/>
          <w:sz w:val="24"/>
          <w:szCs w:val="24"/>
        </w:rPr>
        <w:instrText xml:space="preserve"> HYPERLINK "https://supremecourtcase.wordpress.com/" \l "_ftn6" </w:instrText>
      </w:r>
      <w:r w:rsidR="006A45A0" w:rsidRPr="007C4A68">
        <w:rPr>
          <w:rFonts w:ascii="Times New Roman" w:eastAsia="Times New Roman" w:hAnsi="Times New Roman" w:cs="Times New Roman"/>
          <w:sz w:val="24"/>
          <w:szCs w:val="24"/>
        </w:rPr>
        <w:fldChar w:fldCharType="separate"/>
      </w:r>
      <w:r w:rsidRPr="007C4A68">
        <w:rPr>
          <w:rFonts w:ascii="Times New Roman" w:eastAsia="Times New Roman" w:hAnsi="Times New Roman" w:cs="Times New Roman"/>
          <w:color w:val="0000FF"/>
          <w:sz w:val="24"/>
          <w:szCs w:val="24"/>
          <w:u w:val="single"/>
        </w:rPr>
        <w:t>[6]</w:t>
      </w:r>
      <w:r w:rsidR="006A45A0" w:rsidRPr="007C4A68">
        <w:rPr>
          <w:rFonts w:ascii="Times New Roman" w:eastAsia="Times New Roman" w:hAnsi="Times New Roman" w:cs="Times New Roman"/>
          <w:sz w:val="24"/>
          <w:szCs w:val="24"/>
        </w:rPr>
        <w:fldChar w:fldCharType="end"/>
      </w:r>
      <w:r w:rsidRPr="007C4A68">
        <w:rPr>
          <w:rFonts w:ascii="Times New Roman" w:eastAsia="Times New Roman" w:hAnsi="Times New Roman" w:cs="Times New Roman"/>
          <w:sz w:val="24"/>
          <w:szCs w:val="24"/>
        </w:rPr>
        <w:t> to ascertain precisely what to say and do—</w:t>
      </w:r>
      <w:r w:rsidRPr="007C4A68">
        <w:rPr>
          <w:rFonts w:ascii="Times New Roman" w:eastAsia="Times New Roman" w:hAnsi="Times New Roman" w:cs="Times New Roman"/>
          <w:b/>
          <w:bCs/>
          <w:i/>
          <w:iCs/>
          <w:sz w:val="24"/>
          <w:szCs w:val="24"/>
          <w:u w:val="single"/>
        </w:rPr>
        <w:t>no more, no less</w:t>
      </w:r>
      <w:r w:rsidRPr="007C4A68">
        <w:rPr>
          <w:rFonts w:ascii="Times New Roman" w:eastAsia="Times New Roman" w:hAnsi="Times New Roman" w:cs="Times New Roman"/>
          <w:sz w:val="24"/>
          <w:szCs w:val="24"/>
        </w:rPr>
        <w:t>—to get the agreement of the judges, magistrates, and DOJ attorneys in the Lufkin Division case that (1) the hoax of Federal jurisdiction is over, and (2) they are culpable for fraud and treason to the Constitution.</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There is no reason why that particular filing (</w:t>
      </w:r>
      <w:hyperlink r:id="rId13" w:tgtFrame="_blank" w:history="1">
        <w:r w:rsidRPr="007C4A68">
          <w:rPr>
            <w:rFonts w:ascii="Times New Roman" w:eastAsia="Times New Roman" w:hAnsi="Times New Roman" w:cs="Times New Roman"/>
            <w:color w:val="000000"/>
            <w:sz w:val="24"/>
            <w:szCs w:val="24"/>
            <w:u w:val="single"/>
          </w:rPr>
          <w:t xml:space="preserve">Lufkin </w:t>
        </w:r>
        <w:proofErr w:type="spellStart"/>
        <w:r w:rsidRPr="007C4A68">
          <w:rPr>
            <w:rFonts w:ascii="Times New Roman" w:eastAsia="Times New Roman" w:hAnsi="Times New Roman" w:cs="Times New Roman"/>
            <w:color w:val="000000"/>
            <w:sz w:val="24"/>
            <w:szCs w:val="24"/>
            <w:u w:val="single"/>
          </w:rPr>
          <w:t>Dkt</w:t>
        </w:r>
        <w:proofErr w:type="spellEnd"/>
        <w:r w:rsidRPr="007C4A68">
          <w:rPr>
            <w:rFonts w:ascii="Times New Roman" w:eastAsia="Times New Roman" w:hAnsi="Times New Roman" w:cs="Times New Roman"/>
            <w:color w:val="000000"/>
            <w:sz w:val="24"/>
            <w:szCs w:val="24"/>
            <w:u w:val="single"/>
          </w:rPr>
          <w:t>. #58</w:t>
        </w:r>
      </w:hyperlink>
      <w:r w:rsidRPr="007C4A68">
        <w:rPr>
          <w:rFonts w:ascii="Times New Roman" w:eastAsia="Times New Roman" w:hAnsi="Times New Roman" w:cs="Times New Roman"/>
          <w:sz w:val="24"/>
          <w:szCs w:val="24"/>
        </w:rPr>
        <w:t>) will not work to bring any other Federal case, civil or criminal, anywhere in the Union, to a halt—because there is no constitutional authority that gives any contemporary United States District Court the capacity to take jurisdiction and</w:t>
      </w:r>
      <w:r w:rsidRPr="007C4A68">
        <w:rPr>
          <w:rFonts w:ascii="Times New Roman" w:eastAsia="Times New Roman" w:hAnsi="Times New Roman" w:cs="Times New Roman"/>
          <w:i/>
          <w:iCs/>
          <w:sz w:val="24"/>
          <w:szCs w:val="24"/>
        </w:rPr>
        <w:t xml:space="preserve"> “enter judgments, orders, and decrees in favor of the United States and arising from a civil or criminal proceeding regarding a debt”</w:t>
      </w:r>
      <w:r w:rsidRPr="007C4A68">
        <w:rPr>
          <w:rFonts w:ascii="Times New Roman" w:eastAsia="Times New Roman" w:hAnsi="Times New Roman" w:cs="Times New Roman"/>
          <w:sz w:val="24"/>
          <w:szCs w:val="24"/>
        </w:rPr>
        <w:t xml:space="preserve"> (</w:t>
      </w:r>
      <w:hyperlink r:id="rId14" w:tgtFrame="_blank" w:history="1">
        <w:r w:rsidRPr="007C4A68">
          <w:rPr>
            <w:rFonts w:ascii="Times New Roman" w:eastAsia="Times New Roman" w:hAnsi="Times New Roman" w:cs="Times New Roman"/>
            <w:color w:val="0000FF"/>
            <w:sz w:val="24"/>
            <w:szCs w:val="24"/>
            <w:u w:val="single"/>
          </w:rPr>
          <w:t>28 U.S.C. 3002(8)</w:t>
        </w:r>
      </w:hyperlink>
      <w:r w:rsidRPr="007C4A68">
        <w:rPr>
          <w:rFonts w:ascii="Times New Roman" w:eastAsia="Times New Roman" w:hAnsi="Times New Roman" w:cs="Times New Roman"/>
          <w:sz w:val="24"/>
          <w:szCs w:val="24"/>
        </w:rPr>
        <w:t>) in any county, parish, or borough in America—and no one can produce such authority.</w:t>
      </w:r>
    </w:p>
    <w:p w:rsidR="007C4A68" w:rsidRPr="007C4A68" w:rsidRDefault="006A45A0" w:rsidP="007C4A68">
      <w:p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007C4A68" w:rsidRPr="007C4A68">
          <w:rPr>
            <w:rFonts w:ascii="Times New Roman" w:eastAsia="Times New Roman" w:hAnsi="Times New Roman" w:cs="Times New Roman"/>
            <w:color w:val="0000FF"/>
            <w:sz w:val="24"/>
            <w:szCs w:val="24"/>
            <w:u w:val="single"/>
          </w:rPr>
          <w:t>Houston Division Docket</w:t>
        </w:r>
      </w:hyperlink>
      <w:r w:rsidR="007C4A68" w:rsidRPr="007C4A68">
        <w:rPr>
          <w:rFonts w:ascii="Times New Roman" w:eastAsia="Times New Roman" w:hAnsi="Times New Roman" w:cs="Times New Roman"/>
          <w:sz w:val="24"/>
          <w:szCs w:val="24"/>
        </w:rPr>
        <w:t>                 </w:t>
      </w:r>
      <w:hyperlink r:id="rId16" w:tgtFrame="_blank" w:history="1">
        <w:r w:rsidR="007C4A68" w:rsidRPr="007C4A68">
          <w:rPr>
            <w:rFonts w:ascii="Times New Roman" w:eastAsia="Times New Roman" w:hAnsi="Times New Roman" w:cs="Times New Roman"/>
            <w:color w:val="0000FF"/>
            <w:sz w:val="24"/>
            <w:szCs w:val="24"/>
            <w:u w:val="single"/>
          </w:rPr>
          <w:t>Houston Division Record (17MB)</w:t>
        </w:r>
      </w:hyperlink>
    </w:p>
    <w:p w:rsidR="007C4A68" w:rsidRPr="007C4A68" w:rsidRDefault="006A45A0" w:rsidP="007C4A68">
      <w:pPr>
        <w:spacing w:before="100" w:beforeAutospacing="1" w:after="100" w:afterAutospacing="1" w:line="240" w:lineRule="auto"/>
        <w:rPr>
          <w:rFonts w:ascii="Times New Roman" w:eastAsia="Times New Roman" w:hAnsi="Times New Roman" w:cs="Times New Roman"/>
          <w:sz w:val="24"/>
          <w:szCs w:val="24"/>
        </w:rPr>
      </w:pPr>
      <w:hyperlink r:id="rId17" w:tgtFrame="_blank" w:history="1">
        <w:r w:rsidR="007C4A68" w:rsidRPr="007C4A68">
          <w:rPr>
            <w:rFonts w:ascii="Times New Roman" w:eastAsia="Times New Roman" w:hAnsi="Times New Roman" w:cs="Times New Roman"/>
            <w:color w:val="0000FF"/>
            <w:sz w:val="24"/>
            <w:szCs w:val="24"/>
            <w:u w:val="single"/>
          </w:rPr>
          <w:t>Fifth Circuit Docket</w:t>
        </w:r>
      </w:hyperlink>
      <w:r w:rsidR="007C4A68" w:rsidRPr="007C4A68">
        <w:rPr>
          <w:rFonts w:ascii="Times New Roman" w:eastAsia="Times New Roman" w:hAnsi="Times New Roman" w:cs="Times New Roman"/>
          <w:sz w:val="24"/>
          <w:szCs w:val="24"/>
        </w:rPr>
        <w:t>                           </w:t>
      </w:r>
      <w:hyperlink r:id="rId18" w:tgtFrame="_blank" w:history="1">
        <w:r w:rsidR="007C4A68" w:rsidRPr="007C4A68">
          <w:rPr>
            <w:rFonts w:ascii="Times New Roman" w:eastAsia="Times New Roman" w:hAnsi="Times New Roman" w:cs="Times New Roman"/>
            <w:color w:val="0000FF"/>
            <w:sz w:val="24"/>
            <w:szCs w:val="24"/>
            <w:u w:val="single"/>
          </w:rPr>
          <w:t>Fifth Circuit Record (2.5MB)</w:t>
        </w:r>
      </w:hyperlink>
    </w:p>
    <w:p w:rsidR="007C4A68" w:rsidRPr="007C4A68" w:rsidRDefault="006A45A0" w:rsidP="007C4A68">
      <w:pPr>
        <w:spacing w:before="100" w:beforeAutospacing="1" w:after="100" w:afterAutospacing="1" w:line="240" w:lineRule="auto"/>
        <w:rPr>
          <w:rFonts w:ascii="Times New Roman" w:eastAsia="Times New Roman" w:hAnsi="Times New Roman" w:cs="Times New Roman"/>
          <w:sz w:val="24"/>
          <w:szCs w:val="24"/>
        </w:rPr>
      </w:pPr>
      <w:hyperlink r:id="rId19" w:tgtFrame="_blank" w:history="1">
        <w:r w:rsidR="007C4A68" w:rsidRPr="007C4A68">
          <w:rPr>
            <w:rFonts w:ascii="Times New Roman" w:eastAsia="Times New Roman" w:hAnsi="Times New Roman" w:cs="Times New Roman"/>
            <w:color w:val="0000FF"/>
            <w:sz w:val="24"/>
            <w:szCs w:val="24"/>
            <w:u w:val="single"/>
          </w:rPr>
          <w:t>Supreme Court Docket</w:t>
        </w:r>
      </w:hyperlink>
      <w:r w:rsidR="007C4A68" w:rsidRPr="007C4A68">
        <w:rPr>
          <w:rFonts w:ascii="Times New Roman" w:eastAsia="Times New Roman" w:hAnsi="Times New Roman" w:cs="Times New Roman"/>
          <w:sz w:val="24"/>
          <w:szCs w:val="24"/>
        </w:rPr>
        <w:t>                      </w:t>
      </w:r>
      <w:hyperlink r:id="rId20" w:tgtFrame="_blank" w:history="1">
        <w:r w:rsidR="007C4A68" w:rsidRPr="007C4A68">
          <w:rPr>
            <w:rFonts w:ascii="Times New Roman" w:eastAsia="Times New Roman" w:hAnsi="Times New Roman" w:cs="Times New Roman"/>
            <w:color w:val="0000FF"/>
            <w:sz w:val="24"/>
            <w:szCs w:val="24"/>
            <w:u w:val="single"/>
          </w:rPr>
          <w:t>Supreme Court Record (14MB)</w:t>
        </w:r>
      </w:hyperlink>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color w:val="000000"/>
          <w:sz w:val="24"/>
          <w:szCs w:val="24"/>
        </w:rPr>
        <w:t>*  *  * </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b/>
          <w:bCs/>
          <w:sz w:val="24"/>
          <w:szCs w:val="24"/>
          <w:u w:val="single"/>
        </w:rPr>
        <w:t>Lufkin Division case:</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The Houston Division case commenced January 7, 2014, the Lufkin Division case exactly six months later, July 7, 2014.</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Using knowledge and experience gained in the Houston Division, Petitioner took a proactive stance in the Lufkin Division case and had things going backwards from the beginning: None of the two judges, three magistrates, or two DOJ attorneys made any progress in 14 months.</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As in the Houston Division, the Lufkin Court was masquerading as a constitutional Article III judicial-branch court of limited jurisdiction.</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No judge in a court of limited jurisdiction has authority to order any litigant to do anything—and when the Lufkin judge issued his </w:t>
      </w:r>
      <w:hyperlink r:id="rId21" w:tgtFrame="_blank" w:history="1">
        <w:r w:rsidRPr="007C4A68">
          <w:rPr>
            <w:rFonts w:ascii="Times New Roman" w:eastAsia="Times New Roman" w:hAnsi="Times New Roman" w:cs="Times New Roman"/>
            <w:color w:val="0000FF"/>
            <w:sz w:val="24"/>
            <w:szCs w:val="24"/>
            <w:u w:val="single"/>
          </w:rPr>
          <w:t xml:space="preserve">September 17, 2014, “Order Governing Proceedings” </w:t>
        </w:r>
      </w:hyperlink>
      <w:r w:rsidRPr="007C4A68">
        <w:rPr>
          <w:rFonts w:ascii="Times New Roman" w:eastAsia="Times New Roman" w:hAnsi="Times New Roman" w:cs="Times New Roman"/>
          <w:sz w:val="24"/>
          <w:szCs w:val="24"/>
        </w:rPr>
        <w:t> commanding plaintiff and defendant to perform in accordance with his wishes and timetable, Petitioner made a motion that the Lufkin Court certify said Order and allow Petitioner to appeal to the Fifth Circuit Court of Appeals for a ruling on its constitutionality (</w:t>
      </w:r>
      <w:hyperlink r:id="rId22" w:tgtFrame="_blank" w:history="1">
        <w:r w:rsidRPr="007C4A68">
          <w:rPr>
            <w:rFonts w:ascii="Times New Roman" w:eastAsia="Times New Roman" w:hAnsi="Times New Roman" w:cs="Times New Roman"/>
            <w:color w:val="0000FF"/>
            <w:sz w:val="24"/>
            <w:szCs w:val="24"/>
            <w:u w:val="single"/>
          </w:rPr>
          <w:t xml:space="preserve">Lufkin </w:t>
        </w:r>
        <w:proofErr w:type="spellStart"/>
        <w:r w:rsidRPr="007C4A68">
          <w:rPr>
            <w:rFonts w:ascii="Times New Roman" w:eastAsia="Times New Roman" w:hAnsi="Times New Roman" w:cs="Times New Roman"/>
            <w:color w:val="0000FF"/>
            <w:sz w:val="24"/>
            <w:szCs w:val="24"/>
            <w:u w:val="single"/>
          </w:rPr>
          <w:t>Dkt</w:t>
        </w:r>
        <w:proofErr w:type="spellEnd"/>
        <w:r w:rsidRPr="007C4A68">
          <w:rPr>
            <w:rFonts w:ascii="Times New Roman" w:eastAsia="Times New Roman" w:hAnsi="Times New Roman" w:cs="Times New Roman"/>
            <w:color w:val="0000FF"/>
            <w:sz w:val="24"/>
            <w:szCs w:val="24"/>
            <w:u w:val="single"/>
          </w:rPr>
          <w:t>. #21</w:t>
        </w:r>
      </w:hyperlink>
      <w:r w:rsidRPr="007C4A68">
        <w:rPr>
          <w:rFonts w:ascii="Times New Roman" w:eastAsia="Times New Roman" w:hAnsi="Times New Roman" w:cs="Times New Roman"/>
          <w:sz w:val="24"/>
          <w:szCs w:val="24"/>
        </w:rPr>
        <w: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An “Order Governing Proceedings” (or similar title) is issued by every judge in every civil action in every United States District Court in America.</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Whereas, Article III trial courts (</w:t>
      </w:r>
      <w:r w:rsidRPr="007C4A68">
        <w:rPr>
          <w:rFonts w:ascii="Times New Roman" w:eastAsia="Times New Roman" w:hAnsi="Times New Roman" w:cs="Times New Roman"/>
          <w:sz w:val="24"/>
          <w:szCs w:val="24"/>
          <w:u w:val="single"/>
        </w:rPr>
        <w:t>which no longer exist</w:t>
      </w:r>
      <w:r w:rsidRPr="007C4A68">
        <w:rPr>
          <w:rFonts w:ascii="Times New Roman" w:eastAsia="Times New Roman" w:hAnsi="Times New Roman" w:cs="Times New Roman"/>
          <w:sz w:val="24"/>
          <w:szCs w:val="24"/>
        </w:rPr>
        <w:t xml:space="preserve">) are judicial-branch courts of </w:t>
      </w:r>
      <w:r w:rsidRPr="007C4A68">
        <w:rPr>
          <w:rFonts w:ascii="Times New Roman" w:eastAsia="Times New Roman" w:hAnsi="Times New Roman" w:cs="Times New Roman"/>
          <w:i/>
          <w:iCs/>
          <w:sz w:val="24"/>
          <w:szCs w:val="24"/>
        </w:rPr>
        <w:t>limited jurisdiction</w:t>
      </w:r>
      <w:r w:rsidRPr="007C4A68">
        <w:rPr>
          <w:rFonts w:ascii="Times New Roman" w:eastAsia="Times New Roman" w:hAnsi="Times New Roman" w:cs="Times New Roman"/>
          <w:sz w:val="24"/>
          <w:szCs w:val="24"/>
        </w:rPr>
        <w:t xml:space="preserve"> (subject-matter jurisdiction only) and the judge in such proceedings a mere referee, it is incumbent on the plaintiff to prosecute the case or face dismissal of the complaint for failure to do so.</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The only provision of the Constitution that gives courts of law the power to exercise </w:t>
      </w:r>
      <w:r w:rsidRPr="007C4A68">
        <w:rPr>
          <w:rFonts w:ascii="Times New Roman" w:eastAsia="Times New Roman" w:hAnsi="Times New Roman" w:cs="Times New Roman"/>
          <w:i/>
          <w:iCs/>
          <w:sz w:val="24"/>
          <w:szCs w:val="24"/>
        </w:rPr>
        <w:t>personal</w:t>
      </w:r>
      <w:r w:rsidRPr="007C4A68">
        <w:rPr>
          <w:rFonts w:ascii="Times New Roman" w:eastAsia="Times New Roman" w:hAnsi="Times New Roman" w:cs="Times New Roman"/>
          <w:sz w:val="24"/>
          <w:szCs w:val="24"/>
        </w:rPr>
        <w:t xml:space="preserve"> </w:t>
      </w:r>
      <w:r w:rsidRPr="007C4A68">
        <w:rPr>
          <w:rFonts w:ascii="Times New Roman" w:eastAsia="Times New Roman" w:hAnsi="Times New Roman" w:cs="Times New Roman"/>
          <w:i/>
          <w:iCs/>
          <w:sz w:val="24"/>
          <w:szCs w:val="24"/>
        </w:rPr>
        <w:t>jurisdiction</w:t>
      </w:r>
      <w:r w:rsidRPr="007C4A68">
        <w:rPr>
          <w:rFonts w:ascii="Times New Roman" w:eastAsia="Times New Roman" w:hAnsi="Times New Roman" w:cs="Times New Roman"/>
          <w:sz w:val="24"/>
          <w:szCs w:val="24"/>
        </w:rPr>
        <w:t xml:space="preserve"> (an aspect of general jurisdiction) over litigants and order them to perform as commanded, is an implied authority, </w:t>
      </w:r>
      <w:hyperlink r:id="rId23" w:tgtFrame="_blank" w:history="1">
        <w:r w:rsidRPr="007C4A68">
          <w:rPr>
            <w:rFonts w:ascii="Times New Roman" w:eastAsia="Times New Roman" w:hAnsi="Times New Roman" w:cs="Times New Roman"/>
            <w:color w:val="0000FF"/>
            <w:sz w:val="24"/>
            <w:szCs w:val="24"/>
            <w:u w:val="single"/>
          </w:rPr>
          <w:t>Article 4 § 3(2)</w:t>
        </w:r>
      </w:hyperlink>
      <w:r w:rsidRPr="007C4A68">
        <w:rPr>
          <w:rFonts w:ascii="Times New Roman" w:eastAsia="Times New Roman" w:hAnsi="Times New Roman" w:cs="Times New Roman"/>
          <w:sz w:val="24"/>
          <w:szCs w:val="24"/>
        </w:rPr>
        <w:t xml:space="preserve">—and all such courts are Article IV legislative-branch courts of </w:t>
      </w:r>
      <w:r w:rsidRPr="007C4A68">
        <w:rPr>
          <w:rFonts w:ascii="Times New Roman" w:eastAsia="Times New Roman" w:hAnsi="Times New Roman" w:cs="Times New Roman"/>
          <w:i/>
          <w:iCs/>
          <w:sz w:val="24"/>
          <w:szCs w:val="24"/>
        </w:rPr>
        <w:t>general jurisdiction</w:t>
      </w:r>
      <w:r w:rsidRPr="007C4A68">
        <w:rPr>
          <w:rFonts w:ascii="Times New Roman" w:eastAsia="Times New Roman" w:hAnsi="Times New Roman" w:cs="Times New Roman"/>
          <w:sz w:val="24"/>
          <w:szCs w:val="24"/>
        </w:rPr>
        <w:t xml:space="preserve"> under the exclusive control of Congress.</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That any United States District Judge in any civil action issues an order commanding the plaintiff or defendant to do anything</w:t>
      </w:r>
      <w:r w:rsidRPr="007C4A68">
        <w:rPr>
          <w:rFonts w:ascii="Times New Roman" w:eastAsia="Times New Roman" w:hAnsi="Times New Roman" w:cs="Times New Roman"/>
          <w:i/>
          <w:iCs/>
          <w:sz w:val="24"/>
          <w:szCs w:val="24"/>
        </w:rPr>
        <w:t xml:space="preserve">, </w:t>
      </w:r>
      <w:r w:rsidRPr="007C4A68">
        <w:rPr>
          <w:rFonts w:ascii="Times New Roman" w:eastAsia="Times New Roman" w:hAnsi="Times New Roman" w:cs="Times New Roman"/>
          <w:sz w:val="24"/>
          <w:szCs w:val="24"/>
        </w:rPr>
        <w:t xml:space="preserve">is incontrovertible evidence that (1) the judge is a legislative-branch officer exercising personal jurisdiction over the litigants and prosecuting the case </w:t>
      </w:r>
      <w:proofErr w:type="spellStart"/>
      <w:r w:rsidRPr="007C4A68">
        <w:rPr>
          <w:rFonts w:ascii="Times New Roman" w:eastAsia="Times New Roman" w:hAnsi="Times New Roman" w:cs="Times New Roman"/>
          <w:i/>
          <w:iCs/>
          <w:sz w:val="24"/>
          <w:szCs w:val="24"/>
        </w:rPr>
        <w:t>sua</w:t>
      </w:r>
      <w:proofErr w:type="spellEnd"/>
      <w:r w:rsidRPr="007C4A68">
        <w:rPr>
          <w:rFonts w:ascii="Times New Roman" w:eastAsia="Times New Roman" w:hAnsi="Times New Roman" w:cs="Times New Roman"/>
          <w:i/>
          <w:iCs/>
          <w:sz w:val="24"/>
          <w:szCs w:val="24"/>
        </w:rPr>
        <w:t xml:space="preserve"> </w:t>
      </w:r>
      <w:proofErr w:type="spellStart"/>
      <w:r w:rsidRPr="007C4A68">
        <w:rPr>
          <w:rFonts w:ascii="Times New Roman" w:eastAsia="Times New Roman" w:hAnsi="Times New Roman" w:cs="Times New Roman"/>
          <w:i/>
          <w:iCs/>
          <w:sz w:val="24"/>
          <w:szCs w:val="24"/>
        </w:rPr>
        <w:t>sponte</w:t>
      </w:r>
      <w:proofErr w:type="spellEnd"/>
      <w:r w:rsidRPr="007C4A68">
        <w:rPr>
          <w:rFonts w:ascii="Times New Roman" w:eastAsia="Times New Roman" w:hAnsi="Times New Roman" w:cs="Times New Roman"/>
          <w:sz w:val="24"/>
          <w:szCs w:val="24"/>
        </w:rPr>
        <w:t xml:space="preserve">, and (2) the court is an Article IV legislative court of general jurisdiction—with authority only in </w:t>
      </w:r>
      <w:r w:rsidRPr="007C4A68">
        <w:rPr>
          <w:rFonts w:ascii="Times New Roman" w:eastAsia="Times New Roman" w:hAnsi="Times New Roman" w:cs="Times New Roman"/>
          <w:i/>
          <w:iCs/>
          <w:sz w:val="24"/>
          <w:szCs w:val="24"/>
        </w:rPr>
        <w:t>“Territory or other Property belonging to the United States”</w:t>
      </w:r>
      <w:r w:rsidRPr="007C4A68">
        <w:rPr>
          <w:rFonts w:ascii="Times New Roman" w:eastAsia="Times New Roman" w:hAnsi="Times New Roman" w:cs="Times New Roman"/>
          <w:sz w:val="24"/>
          <w:szCs w:val="24"/>
        </w:rPr>
        <w:t xml:space="preserve"> (</w:t>
      </w:r>
      <w:hyperlink r:id="rId24" w:tgtFrame="_blank" w:history="1">
        <w:r w:rsidRPr="007C4A68">
          <w:rPr>
            <w:rFonts w:ascii="Times New Roman" w:eastAsia="Times New Roman" w:hAnsi="Times New Roman" w:cs="Times New Roman"/>
            <w:color w:val="0000FF"/>
            <w:sz w:val="24"/>
            <w:szCs w:val="24"/>
            <w:u w:val="single"/>
          </w:rPr>
          <w:t>Constitution, Article 4 § 3(2)</w:t>
        </w:r>
      </w:hyperlink>
      <w:r w:rsidRPr="007C4A68">
        <w:rPr>
          <w:rFonts w:ascii="Times New Roman" w:eastAsia="Times New Roman" w:hAnsi="Times New Roman" w:cs="Times New Roman"/>
          <w:sz w:val="24"/>
          <w:szCs w:val="24"/>
        </w:rPr>
        <w:t>), such as the District of Columbia.</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All motions are in the nature of a </w:t>
      </w:r>
      <w:r w:rsidRPr="007C4A68">
        <w:rPr>
          <w:rFonts w:ascii="Times New Roman" w:eastAsia="Times New Roman" w:hAnsi="Times New Roman" w:cs="Times New Roman"/>
          <w:i/>
          <w:iCs/>
          <w:sz w:val="24"/>
          <w:szCs w:val="24"/>
          <w:u w:val="single"/>
        </w:rPr>
        <w:t>request</w:t>
      </w:r>
      <w:r w:rsidRPr="007C4A68">
        <w:rPr>
          <w:rFonts w:ascii="Times New Roman" w:eastAsia="Times New Roman" w:hAnsi="Times New Roman" w:cs="Times New Roman"/>
          <w:sz w:val="24"/>
          <w:szCs w:val="24"/>
        </w:rPr>
        <w:t>—and the Lufkin Court denied Petitioner’s motion / request to certify the aforesaid Order Governing Proceedings for appeal to the Fifth Circuit.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u w:val="single"/>
        </w:rPr>
        <w:t>Petitioner is a Joint Tenant in the Sovereignty</w:t>
      </w:r>
      <w:r w:rsidRPr="007C4A68">
        <w:rPr>
          <w:rFonts w:ascii="Times New Roman" w:eastAsia="Times New Roman" w:hAnsi="Times New Roman" w:cs="Times New Roman"/>
          <w:i/>
          <w:iCs/>
          <w:sz w:val="24"/>
          <w:szCs w:val="24"/>
        </w:rPr>
        <w:t xml:space="preserve"> (Chisholm v. Georgia, </w:t>
      </w:r>
      <w:r w:rsidRPr="007C4A68">
        <w:rPr>
          <w:rFonts w:ascii="Times New Roman" w:eastAsia="Times New Roman" w:hAnsi="Times New Roman" w:cs="Times New Roman"/>
          <w:sz w:val="24"/>
          <w:szCs w:val="24"/>
        </w:rPr>
        <w:t>2 U.S. 419, 471 (1793))</w:t>
      </w:r>
      <w:r w:rsidRPr="007C4A68">
        <w:rPr>
          <w:rFonts w:ascii="Times New Roman" w:eastAsia="Times New Roman" w:hAnsi="Times New Roman" w:cs="Times New Roman"/>
          <w:i/>
          <w:iCs/>
          <w:sz w:val="24"/>
          <w:szCs w:val="24"/>
        </w:rPr>
        <w: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The reason Petitioner’s last two Lufkin Division filings are </w:t>
      </w:r>
      <w:r w:rsidRPr="007C4A68">
        <w:rPr>
          <w:rFonts w:ascii="Times New Roman" w:eastAsia="Times New Roman" w:hAnsi="Times New Roman" w:cs="Times New Roman"/>
          <w:i/>
          <w:iCs/>
          <w:sz w:val="24"/>
          <w:szCs w:val="24"/>
          <w:u w:val="single"/>
        </w:rPr>
        <w:t>demands</w:t>
      </w:r>
      <w:r w:rsidRPr="007C4A68">
        <w:rPr>
          <w:rFonts w:ascii="Times New Roman" w:eastAsia="Times New Roman" w:hAnsi="Times New Roman" w:cs="Times New Roman"/>
          <w:sz w:val="24"/>
          <w:szCs w:val="24"/>
        </w:rPr>
        <w:t xml:space="preserve"> (and not motions) is that there is no constitutional authority that gives the Lufkin Division judges or magistrates capacity to take jurisdiction in Tyler County, Texas—making all of them outlaws usurping exercise of jurisdiction in extra-constitutional geographic area, Petitioner the ranking participant in the Lufkin Division Federal-jurisdiction charade, and a </w:t>
      </w:r>
      <w:r w:rsidRPr="007C4A68">
        <w:rPr>
          <w:rFonts w:ascii="Times New Roman" w:eastAsia="Times New Roman" w:hAnsi="Times New Roman" w:cs="Times New Roman"/>
          <w:i/>
          <w:iCs/>
          <w:sz w:val="24"/>
          <w:szCs w:val="24"/>
          <w:u w:val="single"/>
        </w:rPr>
        <w:t>demand</w:t>
      </w:r>
      <w:r w:rsidRPr="007C4A68">
        <w:rPr>
          <w:rFonts w:ascii="Times New Roman" w:eastAsia="Times New Roman" w:hAnsi="Times New Roman" w:cs="Times New Roman"/>
          <w:sz w:val="24"/>
          <w:szCs w:val="24"/>
        </w:rPr>
        <w:t xml:space="preserve"> the proper form of address.</w:t>
      </w:r>
      <w:r w:rsidRPr="007C4A68">
        <w:rPr>
          <w:rFonts w:ascii="Times New Roman" w:eastAsia="Times New Roman" w:hAnsi="Times New Roman" w:cs="Times New Roman"/>
          <w:i/>
          <w:iCs/>
          <w:sz w:val="24"/>
          <w:szCs w:val="24"/>
        </w:rPr>
        <w:t> </w:t>
      </w:r>
    </w:p>
    <w:p w:rsidR="007C4A68" w:rsidRPr="007C4A68" w:rsidRDefault="006A45A0" w:rsidP="007C4A68">
      <w:pPr>
        <w:spacing w:before="100" w:beforeAutospacing="1" w:after="100" w:afterAutospacing="1" w:line="240" w:lineRule="auto"/>
        <w:rPr>
          <w:rFonts w:ascii="Times New Roman" w:eastAsia="Times New Roman" w:hAnsi="Times New Roman" w:cs="Times New Roman"/>
          <w:sz w:val="24"/>
          <w:szCs w:val="24"/>
        </w:rPr>
      </w:pPr>
      <w:hyperlink r:id="rId25" w:tgtFrame="_blank" w:history="1">
        <w:r w:rsidR="007C4A68" w:rsidRPr="007C4A68">
          <w:rPr>
            <w:rFonts w:ascii="Times New Roman" w:eastAsia="Times New Roman" w:hAnsi="Times New Roman" w:cs="Times New Roman"/>
            <w:color w:val="0000FF"/>
            <w:sz w:val="24"/>
            <w:szCs w:val="24"/>
            <w:u w:val="single"/>
          </w:rPr>
          <w:t>Lufkin Division Docket</w:t>
        </w:r>
      </w:hyperlink>
      <w:r w:rsidR="007C4A68" w:rsidRPr="007C4A68">
        <w:rPr>
          <w:rFonts w:ascii="Times New Roman" w:eastAsia="Times New Roman" w:hAnsi="Times New Roman" w:cs="Times New Roman"/>
          <w:sz w:val="24"/>
          <w:szCs w:val="24"/>
        </w:rPr>
        <w:t xml:space="preserve">                      </w:t>
      </w:r>
      <w:hyperlink r:id="rId26" w:tgtFrame="_blank" w:history="1">
        <w:r w:rsidR="007C4A68" w:rsidRPr="007C4A68">
          <w:rPr>
            <w:rFonts w:ascii="Times New Roman" w:eastAsia="Times New Roman" w:hAnsi="Times New Roman" w:cs="Times New Roman"/>
            <w:color w:val="0000FF"/>
            <w:sz w:val="24"/>
            <w:szCs w:val="24"/>
            <w:u w:val="single"/>
          </w:rPr>
          <w:t>Lufkin Division Record (68MB)</w:t>
        </w:r>
      </w:hyperlink>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  *</w:t>
      </w:r>
    </w:p>
    <w:bookmarkStart w:id="6" w:name="_ftn1"/>
    <w:p w:rsidR="007C4A68" w:rsidRPr="007C4A68" w:rsidRDefault="006A45A0"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fldChar w:fldCharType="begin"/>
      </w:r>
      <w:r w:rsidR="007C4A68" w:rsidRPr="007C4A68">
        <w:rPr>
          <w:rFonts w:ascii="Times New Roman" w:eastAsia="Times New Roman" w:hAnsi="Times New Roman" w:cs="Times New Roman"/>
          <w:sz w:val="24"/>
          <w:szCs w:val="24"/>
        </w:rPr>
        <w:instrText xml:space="preserve"> HYPERLINK "https://supremecourtcase.wordpress.com/" \l "_ftnref1" </w:instrText>
      </w:r>
      <w:r w:rsidRPr="007C4A68">
        <w:rPr>
          <w:rFonts w:ascii="Times New Roman" w:eastAsia="Times New Roman" w:hAnsi="Times New Roman" w:cs="Times New Roman"/>
          <w:sz w:val="24"/>
          <w:szCs w:val="24"/>
        </w:rPr>
        <w:fldChar w:fldCharType="separate"/>
      </w:r>
      <w:r w:rsidR="007C4A68" w:rsidRPr="007C4A68">
        <w:rPr>
          <w:rFonts w:ascii="Times New Roman" w:eastAsia="Times New Roman" w:hAnsi="Times New Roman" w:cs="Times New Roman"/>
          <w:color w:val="0000FF"/>
          <w:sz w:val="24"/>
          <w:szCs w:val="24"/>
          <w:u w:val="single"/>
        </w:rPr>
        <w:t>[1]</w:t>
      </w:r>
      <w:r w:rsidRPr="007C4A68">
        <w:rPr>
          <w:rFonts w:ascii="Times New Roman" w:eastAsia="Times New Roman" w:hAnsi="Times New Roman" w:cs="Times New Roman"/>
          <w:sz w:val="24"/>
          <w:szCs w:val="24"/>
        </w:rPr>
        <w:fldChar w:fldCharType="end"/>
      </w:r>
      <w:r w:rsidR="007C4A68" w:rsidRPr="007C4A68">
        <w:rPr>
          <w:rFonts w:ascii="Times New Roman" w:eastAsia="Times New Roman" w:hAnsi="Times New Roman" w:cs="Times New Roman"/>
          <w:sz w:val="24"/>
          <w:szCs w:val="24"/>
        </w:rPr>
        <w:t xml:space="preserve"> recon</w:t>
      </w:r>
      <w:r w:rsidR="007C4A68" w:rsidRPr="007C4A68">
        <w:rPr>
          <w:rFonts w:ascii="Times New Roman" w:eastAsia="Times New Roman" w:hAnsi="Times New Roman" w:cs="Times New Roman"/>
          <w:i/>
          <w:iCs/>
          <w:sz w:val="24"/>
          <w:szCs w:val="24"/>
        </w:rPr>
        <w:t xml:space="preserve">dite </w:t>
      </w:r>
      <w:r w:rsidR="007C4A68" w:rsidRPr="007C4A68">
        <w:rPr>
          <w:rFonts w:ascii="Times New Roman" w:eastAsia="Times New Roman" w:hAnsi="Times New Roman" w:cs="Times New Roman"/>
          <w:sz w:val="24"/>
          <w:szCs w:val="24"/>
        </w:rPr>
        <w:t xml:space="preserve">. . . </w:t>
      </w:r>
      <w:r w:rsidR="007C4A68" w:rsidRPr="007C4A68">
        <w:rPr>
          <w:rFonts w:ascii="Times New Roman" w:eastAsia="Times New Roman" w:hAnsi="Times New Roman" w:cs="Times New Roman"/>
          <w:i/>
          <w:iCs/>
          <w:sz w:val="24"/>
          <w:szCs w:val="24"/>
        </w:rPr>
        <w:t>adjective</w:t>
      </w:r>
      <w:r w:rsidR="007C4A68" w:rsidRPr="007C4A68">
        <w:rPr>
          <w:rFonts w:ascii="Times New Roman" w:eastAsia="Times New Roman" w:hAnsi="Times New Roman" w:cs="Times New Roman"/>
          <w:sz w:val="24"/>
          <w:szCs w:val="24"/>
        </w:rPr>
        <w:t xml:space="preserve"> . . . very difficult to understand and beyond the reach of ordinary comprehension and knowledge : deep . . .   </w:t>
      </w:r>
      <w:r w:rsidR="007C4A68" w:rsidRPr="007C4A68">
        <w:rPr>
          <w:rFonts w:ascii="Times New Roman" w:eastAsia="Times New Roman" w:hAnsi="Times New Roman" w:cs="Times New Roman"/>
          <w:i/>
          <w:iCs/>
          <w:sz w:val="24"/>
          <w:szCs w:val="24"/>
        </w:rPr>
        <w:t>Merriam-Webster’s Unabridged Dictionary</w:t>
      </w:r>
      <w:r w:rsidR="007C4A68" w:rsidRPr="007C4A68">
        <w:rPr>
          <w:rFonts w:ascii="Times New Roman" w:eastAsia="Times New Roman" w:hAnsi="Times New Roman" w:cs="Times New Roman"/>
          <w:sz w:val="24"/>
          <w:szCs w:val="24"/>
        </w:rPr>
        <w:t xml:space="preserve">, Incorporated Version 2.5 (Merriam-Webster, Inc.: Springfield, Mass., 2000), </w:t>
      </w:r>
      <w:proofErr w:type="spellStart"/>
      <w:r w:rsidR="007C4A68" w:rsidRPr="007C4A68">
        <w:rPr>
          <w:rFonts w:ascii="Times New Roman" w:eastAsia="Times New Roman" w:hAnsi="Times New Roman" w:cs="Times New Roman"/>
          <w:sz w:val="24"/>
          <w:szCs w:val="24"/>
        </w:rPr>
        <w:t>s.v</w:t>
      </w:r>
      <w:proofErr w:type="spellEnd"/>
      <w:r w:rsidR="007C4A68" w:rsidRPr="007C4A68">
        <w:rPr>
          <w:rFonts w:ascii="Times New Roman" w:eastAsia="Times New Roman" w:hAnsi="Times New Roman" w:cs="Times New Roman"/>
          <w:sz w:val="24"/>
          <w:szCs w:val="24"/>
        </w:rPr>
        <w:t>. “Recondite.”</w:t>
      </w:r>
    </w:p>
    <w:bookmarkStart w:id="7" w:name="_ftn2"/>
    <w:p w:rsidR="007C4A68" w:rsidRPr="007C4A68" w:rsidRDefault="006A45A0"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fldChar w:fldCharType="begin"/>
      </w:r>
      <w:r w:rsidR="007C4A68" w:rsidRPr="007C4A68">
        <w:rPr>
          <w:rFonts w:ascii="Times New Roman" w:eastAsia="Times New Roman" w:hAnsi="Times New Roman" w:cs="Times New Roman"/>
          <w:sz w:val="24"/>
          <w:szCs w:val="24"/>
        </w:rPr>
        <w:instrText xml:space="preserve"> HYPERLINK "https://supremecourtcase.wordpress.com/" \l "_ftnref2" </w:instrText>
      </w:r>
      <w:r w:rsidRPr="007C4A68">
        <w:rPr>
          <w:rFonts w:ascii="Times New Roman" w:eastAsia="Times New Roman" w:hAnsi="Times New Roman" w:cs="Times New Roman"/>
          <w:sz w:val="24"/>
          <w:szCs w:val="24"/>
        </w:rPr>
        <w:fldChar w:fldCharType="separate"/>
      </w:r>
      <w:r w:rsidR="007C4A68" w:rsidRPr="007C4A68">
        <w:rPr>
          <w:rFonts w:ascii="Times New Roman" w:eastAsia="Times New Roman" w:hAnsi="Times New Roman" w:cs="Times New Roman"/>
          <w:color w:val="0000FF"/>
          <w:sz w:val="24"/>
          <w:szCs w:val="24"/>
          <w:u w:val="single"/>
        </w:rPr>
        <w:t>[2]</w:t>
      </w:r>
      <w:r w:rsidRPr="007C4A68">
        <w:rPr>
          <w:rFonts w:ascii="Times New Roman" w:eastAsia="Times New Roman" w:hAnsi="Times New Roman" w:cs="Times New Roman"/>
          <w:sz w:val="24"/>
          <w:szCs w:val="24"/>
        </w:rPr>
        <w:fldChar w:fldCharType="end"/>
      </w:r>
      <w:r w:rsidR="007C4A68" w:rsidRPr="007C4A68">
        <w:rPr>
          <w:rFonts w:ascii="Times New Roman" w:eastAsia="Times New Roman" w:hAnsi="Times New Roman" w:cs="Times New Roman"/>
          <w:sz w:val="24"/>
          <w:szCs w:val="24"/>
        </w:rPr>
        <w:t xml:space="preserve"> John </w:t>
      </w:r>
      <w:proofErr w:type="spellStart"/>
      <w:r w:rsidR="007C4A68" w:rsidRPr="007C4A68">
        <w:rPr>
          <w:rFonts w:ascii="Times New Roman" w:eastAsia="Times New Roman" w:hAnsi="Times New Roman" w:cs="Times New Roman"/>
          <w:sz w:val="24"/>
          <w:szCs w:val="24"/>
        </w:rPr>
        <w:t>Bouvier</w:t>
      </w:r>
      <w:proofErr w:type="spellEnd"/>
      <w:r w:rsidR="007C4A68" w:rsidRPr="007C4A68">
        <w:rPr>
          <w:rFonts w:ascii="Times New Roman" w:eastAsia="Times New Roman" w:hAnsi="Times New Roman" w:cs="Times New Roman"/>
          <w:sz w:val="24"/>
          <w:szCs w:val="24"/>
        </w:rPr>
        <w:t>,</w:t>
      </w:r>
      <w:r w:rsidR="007C4A68" w:rsidRPr="007C4A68">
        <w:rPr>
          <w:rFonts w:ascii="Times New Roman" w:eastAsia="Times New Roman" w:hAnsi="Times New Roman" w:cs="Times New Roman"/>
          <w:i/>
          <w:iCs/>
          <w:sz w:val="24"/>
          <w:szCs w:val="24"/>
        </w:rPr>
        <w:t xml:space="preserve"> </w:t>
      </w:r>
      <w:proofErr w:type="spellStart"/>
      <w:r w:rsidR="007C4A68" w:rsidRPr="007C4A68">
        <w:rPr>
          <w:rFonts w:ascii="Times New Roman" w:eastAsia="Times New Roman" w:hAnsi="Times New Roman" w:cs="Times New Roman"/>
          <w:i/>
          <w:iCs/>
          <w:sz w:val="24"/>
          <w:szCs w:val="24"/>
        </w:rPr>
        <w:t>Bouvier’s</w:t>
      </w:r>
      <w:proofErr w:type="spellEnd"/>
      <w:r w:rsidR="007C4A68" w:rsidRPr="007C4A68">
        <w:rPr>
          <w:rFonts w:ascii="Times New Roman" w:eastAsia="Times New Roman" w:hAnsi="Times New Roman" w:cs="Times New Roman"/>
          <w:i/>
          <w:iCs/>
          <w:sz w:val="24"/>
          <w:szCs w:val="24"/>
        </w:rPr>
        <w:t xml:space="preserve"> Law Dictionary,</w:t>
      </w:r>
      <w:r w:rsidR="007C4A68" w:rsidRPr="007C4A68">
        <w:rPr>
          <w:rFonts w:ascii="Times New Roman" w:eastAsia="Times New Roman" w:hAnsi="Times New Roman" w:cs="Times New Roman"/>
          <w:sz w:val="24"/>
          <w:szCs w:val="24"/>
        </w:rPr>
        <w:t xml:space="preserve"> Third Revision (Being the Eighth Edition), revised by Francis </w:t>
      </w:r>
      <w:proofErr w:type="spellStart"/>
      <w:r w:rsidR="007C4A68" w:rsidRPr="007C4A68">
        <w:rPr>
          <w:rFonts w:ascii="Times New Roman" w:eastAsia="Times New Roman" w:hAnsi="Times New Roman" w:cs="Times New Roman"/>
          <w:sz w:val="24"/>
          <w:szCs w:val="24"/>
        </w:rPr>
        <w:t>Rawle</w:t>
      </w:r>
      <w:proofErr w:type="spellEnd"/>
      <w:r w:rsidR="007C4A68" w:rsidRPr="007C4A68">
        <w:rPr>
          <w:rFonts w:ascii="Times New Roman" w:eastAsia="Times New Roman" w:hAnsi="Times New Roman" w:cs="Times New Roman"/>
          <w:sz w:val="24"/>
          <w:szCs w:val="24"/>
        </w:rPr>
        <w:t xml:space="preserve"> (West Publishing Co.: St. Paul, Minn.: 1914), p. 2166.</w:t>
      </w:r>
    </w:p>
    <w:bookmarkStart w:id="8" w:name="_ftn3"/>
    <w:p w:rsidR="007C4A68" w:rsidRPr="007C4A68" w:rsidRDefault="006A45A0"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fldChar w:fldCharType="begin"/>
      </w:r>
      <w:r w:rsidR="007C4A68" w:rsidRPr="007C4A68">
        <w:rPr>
          <w:rFonts w:ascii="Times New Roman" w:eastAsia="Times New Roman" w:hAnsi="Times New Roman" w:cs="Times New Roman"/>
          <w:sz w:val="24"/>
          <w:szCs w:val="24"/>
        </w:rPr>
        <w:instrText xml:space="preserve"> HYPERLINK "https://supremecourtcase.wordpress.com/" \l "_ftnref3" </w:instrText>
      </w:r>
      <w:r w:rsidRPr="007C4A68">
        <w:rPr>
          <w:rFonts w:ascii="Times New Roman" w:eastAsia="Times New Roman" w:hAnsi="Times New Roman" w:cs="Times New Roman"/>
          <w:sz w:val="24"/>
          <w:szCs w:val="24"/>
        </w:rPr>
        <w:fldChar w:fldCharType="separate"/>
      </w:r>
      <w:r w:rsidR="007C4A68" w:rsidRPr="007C4A68">
        <w:rPr>
          <w:rFonts w:ascii="Times New Roman" w:eastAsia="Times New Roman" w:hAnsi="Times New Roman" w:cs="Times New Roman"/>
          <w:color w:val="0000FF"/>
          <w:sz w:val="24"/>
          <w:szCs w:val="24"/>
          <w:u w:val="single"/>
        </w:rPr>
        <w:t>[3]</w:t>
      </w:r>
      <w:r w:rsidRPr="007C4A68">
        <w:rPr>
          <w:rFonts w:ascii="Times New Roman" w:eastAsia="Times New Roman" w:hAnsi="Times New Roman" w:cs="Times New Roman"/>
          <w:sz w:val="24"/>
          <w:szCs w:val="24"/>
        </w:rPr>
        <w:fldChar w:fldCharType="end"/>
      </w:r>
      <w:r w:rsidR="007C4A68" w:rsidRPr="007C4A68">
        <w:rPr>
          <w:rFonts w:ascii="Times New Roman" w:eastAsia="Times New Roman" w:hAnsi="Times New Roman" w:cs="Times New Roman"/>
          <w:sz w:val="24"/>
          <w:szCs w:val="24"/>
        </w:rPr>
        <w:t xml:space="preserve"> </w:t>
      </w:r>
      <w:hyperlink r:id="rId27" w:tgtFrame="_blank" w:history="1">
        <w:r w:rsidR="007C4A68" w:rsidRPr="007C4A68">
          <w:rPr>
            <w:rFonts w:ascii="Times New Roman" w:eastAsia="Times New Roman" w:hAnsi="Times New Roman" w:cs="Times New Roman"/>
            <w:color w:val="0000FF"/>
            <w:sz w:val="24"/>
            <w:szCs w:val="24"/>
            <w:u w:val="single"/>
          </w:rPr>
          <w:t xml:space="preserve">“An Act to provide a Government for the District of Columbia,” </w:t>
        </w:r>
        <w:proofErr w:type="spellStart"/>
        <w:r w:rsidR="007C4A68" w:rsidRPr="007C4A68">
          <w:rPr>
            <w:rFonts w:ascii="Times New Roman" w:eastAsia="Times New Roman" w:hAnsi="Times New Roman" w:cs="Times New Roman"/>
            <w:color w:val="0000FF"/>
            <w:sz w:val="24"/>
            <w:szCs w:val="24"/>
            <w:u w:val="single"/>
          </w:rPr>
          <w:t>ch</w:t>
        </w:r>
        <w:proofErr w:type="spellEnd"/>
        <w:r w:rsidR="007C4A68" w:rsidRPr="007C4A68">
          <w:rPr>
            <w:rFonts w:ascii="Times New Roman" w:eastAsia="Times New Roman" w:hAnsi="Times New Roman" w:cs="Times New Roman"/>
            <w:color w:val="0000FF"/>
            <w:sz w:val="24"/>
            <w:szCs w:val="24"/>
            <w:u w:val="single"/>
          </w:rPr>
          <w:t>. 62, 16 Stat. 419, February 21, 1871 [</w:t>
        </w:r>
        <w:r w:rsidR="007C4A68" w:rsidRPr="007C4A68">
          <w:rPr>
            <w:rFonts w:ascii="Times New Roman" w:eastAsia="Times New Roman" w:hAnsi="Times New Roman" w:cs="Times New Roman"/>
            <w:i/>
            <w:iCs/>
            <w:color w:val="0000FF"/>
            <w:sz w:val="24"/>
            <w:szCs w:val="24"/>
            <w:u w:val="single"/>
          </w:rPr>
          <w:t>Go to</w:t>
        </w:r>
        <w:r w:rsidR="007C4A68" w:rsidRPr="007C4A68">
          <w:rPr>
            <w:rFonts w:ascii="Times New Roman" w:eastAsia="Times New Roman" w:hAnsi="Times New Roman" w:cs="Times New Roman"/>
            <w:color w:val="0000FF"/>
            <w:sz w:val="24"/>
            <w:szCs w:val="24"/>
            <w:u w:val="single"/>
          </w:rPr>
          <w:t xml:space="preserve"> “Turn to image” 419]</w:t>
        </w:r>
      </w:hyperlink>
      <w:r w:rsidR="007C4A68" w:rsidRPr="007C4A68">
        <w:rPr>
          <w:rFonts w:ascii="Times New Roman" w:eastAsia="Times New Roman" w:hAnsi="Times New Roman" w:cs="Times New Roman"/>
          <w:sz w:val="24"/>
          <w:szCs w:val="24"/>
        </w:rPr>
        <w:t xml:space="preserve">; later legislated in “An Act Providing a Permanent Form of Government for the District of Columbia,” </w:t>
      </w:r>
      <w:proofErr w:type="spellStart"/>
      <w:r w:rsidR="007C4A68" w:rsidRPr="007C4A68">
        <w:rPr>
          <w:rFonts w:ascii="Times New Roman" w:eastAsia="Times New Roman" w:hAnsi="Times New Roman" w:cs="Times New Roman"/>
          <w:sz w:val="24"/>
          <w:szCs w:val="24"/>
        </w:rPr>
        <w:t>ch</w:t>
      </w:r>
      <w:proofErr w:type="spellEnd"/>
      <w:r w:rsidR="007C4A68" w:rsidRPr="007C4A68">
        <w:rPr>
          <w:rFonts w:ascii="Times New Roman" w:eastAsia="Times New Roman" w:hAnsi="Times New Roman" w:cs="Times New Roman"/>
          <w:sz w:val="24"/>
          <w:szCs w:val="24"/>
        </w:rPr>
        <w:t xml:space="preserve">. 180, sec. 1, 20 Stat. 102, June 11, 1878, to remain and continue as a municipal corporation (brought forward from the Act of 1871, as provided in the Act of March 2, 1877, amended and approved March 9, 1878, </w:t>
      </w:r>
      <w:r w:rsidR="007C4A68" w:rsidRPr="007C4A68">
        <w:rPr>
          <w:rFonts w:ascii="Times New Roman" w:eastAsia="Times New Roman" w:hAnsi="Times New Roman" w:cs="Times New Roman"/>
          <w:i/>
          <w:iCs/>
          <w:sz w:val="24"/>
          <w:szCs w:val="24"/>
        </w:rPr>
        <w:t>Revised Statutes of the United States Relating to the District of Columbia</w:t>
      </w:r>
      <w:r w:rsidR="007C4A68" w:rsidRPr="007C4A68">
        <w:rPr>
          <w:rFonts w:ascii="Times New Roman" w:eastAsia="Times New Roman" w:hAnsi="Times New Roman" w:cs="Times New Roman"/>
          <w:sz w:val="24"/>
          <w:szCs w:val="24"/>
        </w:rPr>
        <w:t xml:space="preserve"> . . .</w:t>
      </w:r>
      <w:r w:rsidR="007C4A68" w:rsidRPr="007C4A68">
        <w:rPr>
          <w:rFonts w:ascii="Times New Roman" w:eastAsia="Times New Roman" w:hAnsi="Times New Roman" w:cs="Times New Roman"/>
          <w:i/>
          <w:iCs/>
          <w:sz w:val="24"/>
          <w:szCs w:val="24"/>
        </w:rPr>
        <w:t xml:space="preserve"> 1873–’74 </w:t>
      </w:r>
      <w:r w:rsidR="007C4A68" w:rsidRPr="007C4A68">
        <w:rPr>
          <w:rFonts w:ascii="Times New Roman" w:eastAsia="Times New Roman" w:hAnsi="Times New Roman" w:cs="Times New Roman"/>
          <w:sz w:val="24"/>
          <w:szCs w:val="24"/>
        </w:rPr>
        <w:t xml:space="preserve">(in force as of December 1, 1873), sec. 2, p. 2); as amended by the Act of June 28, 1935, 49 Stat. 430, </w:t>
      </w:r>
      <w:proofErr w:type="spellStart"/>
      <w:r w:rsidR="007C4A68" w:rsidRPr="007C4A68">
        <w:rPr>
          <w:rFonts w:ascii="Times New Roman" w:eastAsia="Times New Roman" w:hAnsi="Times New Roman" w:cs="Times New Roman"/>
          <w:sz w:val="24"/>
          <w:szCs w:val="24"/>
        </w:rPr>
        <w:t>ch</w:t>
      </w:r>
      <w:proofErr w:type="spellEnd"/>
      <w:r w:rsidR="007C4A68" w:rsidRPr="007C4A68">
        <w:rPr>
          <w:rFonts w:ascii="Times New Roman" w:eastAsia="Times New Roman" w:hAnsi="Times New Roman" w:cs="Times New Roman"/>
          <w:sz w:val="24"/>
          <w:szCs w:val="24"/>
        </w:rPr>
        <w:t>. 332, sec. 1 (Title 1, Section 102, District of Columbia Code (1940)).</w:t>
      </w:r>
    </w:p>
    <w:bookmarkStart w:id="9" w:name="_ftn4"/>
    <w:p w:rsidR="007C4A68" w:rsidRPr="007C4A68" w:rsidRDefault="006A45A0"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fldChar w:fldCharType="begin"/>
      </w:r>
      <w:r w:rsidR="007C4A68" w:rsidRPr="007C4A68">
        <w:rPr>
          <w:rFonts w:ascii="Times New Roman" w:eastAsia="Times New Roman" w:hAnsi="Times New Roman" w:cs="Times New Roman"/>
          <w:sz w:val="24"/>
          <w:szCs w:val="24"/>
        </w:rPr>
        <w:instrText xml:space="preserve"> HYPERLINK "https://supremecourtcase.wordpress.com/" \l "_ftnref4" </w:instrText>
      </w:r>
      <w:r w:rsidRPr="007C4A68">
        <w:rPr>
          <w:rFonts w:ascii="Times New Roman" w:eastAsia="Times New Roman" w:hAnsi="Times New Roman" w:cs="Times New Roman"/>
          <w:sz w:val="24"/>
          <w:szCs w:val="24"/>
        </w:rPr>
        <w:fldChar w:fldCharType="separate"/>
      </w:r>
      <w:r w:rsidR="007C4A68" w:rsidRPr="007C4A68">
        <w:rPr>
          <w:rFonts w:ascii="Times New Roman" w:eastAsia="Times New Roman" w:hAnsi="Times New Roman" w:cs="Times New Roman"/>
          <w:color w:val="0000FF"/>
          <w:sz w:val="24"/>
          <w:szCs w:val="24"/>
          <w:u w:val="single"/>
        </w:rPr>
        <w:t>[4]</w:t>
      </w:r>
      <w:r w:rsidRPr="007C4A68">
        <w:rPr>
          <w:rFonts w:ascii="Times New Roman" w:eastAsia="Times New Roman" w:hAnsi="Times New Roman" w:cs="Times New Roman"/>
          <w:sz w:val="24"/>
          <w:szCs w:val="24"/>
        </w:rPr>
        <w:fldChar w:fldCharType="end"/>
      </w:r>
      <w:r w:rsidR="007C4A68" w:rsidRPr="007C4A68">
        <w:rPr>
          <w:rFonts w:ascii="Times New Roman" w:eastAsia="Times New Roman" w:hAnsi="Times New Roman" w:cs="Times New Roman"/>
          <w:sz w:val="24"/>
          <w:szCs w:val="24"/>
        </w:rPr>
        <w:t xml:space="preserve"> SUA SPONTE. Lat. Of his or its own will or motion ; voluntarily ; without prompting or suggestion. Henry Campbell Black, </w:t>
      </w:r>
      <w:r w:rsidR="007C4A68" w:rsidRPr="007C4A68">
        <w:rPr>
          <w:rFonts w:ascii="Times New Roman" w:eastAsia="Times New Roman" w:hAnsi="Times New Roman" w:cs="Times New Roman"/>
          <w:i/>
          <w:iCs/>
          <w:sz w:val="24"/>
          <w:szCs w:val="24"/>
        </w:rPr>
        <w:t>A Dictionary of Law</w:t>
      </w:r>
      <w:r w:rsidR="007C4A68" w:rsidRPr="007C4A68">
        <w:rPr>
          <w:rFonts w:ascii="Times New Roman" w:eastAsia="Times New Roman" w:hAnsi="Times New Roman" w:cs="Times New Roman"/>
          <w:sz w:val="24"/>
          <w:szCs w:val="24"/>
        </w:rPr>
        <w:t xml:space="preserve"> (West Publishing Co.: St. Paul Minn., 1891), p. 1129.</w:t>
      </w:r>
    </w:p>
    <w:bookmarkStart w:id="10" w:name="_ftn5"/>
    <w:p w:rsidR="007C4A68" w:rsidRPr="007C4A68" w:rsidRDefault="006A45A0"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fldChar w:fldCharType="begin"/>
      </w:r>
      <w:r w:rsidR="007C4A68" w:rsidRPr="007C4A68">
        <w:rPr>
          <w:rFonts w:ascii="Times New Roman" w:eastAsia="Times New Roman" w:hAnsi="Times New Roman" w:cs="Times New Roman"/>
          <w:sz w:val="24"/>
          <w:szCs w:val="24"/>
        </w:rPr>
        <w:instrText xml:space="preserve"> HYPERLINK "https://supremecourtcase.wordpress.com/" \l "_ftnref5" </w:instrText>
      </w:r>
      <w:r w:rsidRPr="007C4A68">
        <w:rPr>
          <w:rFonts w:ascii="Times New Roman" w:eastAsia="Times New Roman" w:hAnsi="Times New Roman" w:cs="Times New Roman"/>
          <w:sz w:val="24"/>
          <w:szCs w:val="24"/>
        </w:rPr>
        <w:fldChar w:fldCharType="separate"/>
      </w:r>
      <w:r w:rsidR="007C4A68" w:rsidRPr="007C4A68">
        <w:rPr>
          <w:rFonts w:ascii="Times New Roman" w:eastAsia="Times New Roman" w:hAnsi="Times New Roman" w:cs="Times New Roman"/>
          <w:color w:val="0000FF"/>
          <w:sz w:val="24"/>
          <w:szCs w:val="24"/>
          <w:u w:val="single"/>
        </w:rPr>
        <w:t>[5]</w:t>
      </w:r>
      <w:r w:rsidRPr="007C4A68">
        <w:rPr>
          <w:rFonts w:ascii="Times New Roman" w:eastAsia="Times New Roman" w:hAnsi="Times New Roman" w:cs="Times New Roman"/>
          <w:sz w:val="24"/>
          <w:szCs w:val="24"/>
        </w:rPr>
        <w:fldChar w:fldCharType="end"/>
      </w:r>
      <w:r w:rsidR="007C4A68" w:rsidRPr="007C4A68">
        <w:rPr>
          <w:rFonts w:ascii="Times New Roman" w:eastAsia="Times New Roman" w:hAnsi="Times New Roman" w:cs="Times New Roman"/>
          <w:sz w:val="24"/>
          <w:szCs w:val="24"/>
        </w:rPr>
        <w:t xml:space="preserve"> SUB SILENTIO. Under silence ; without any notice being taken. . . .  </w:t>
      </w:r>
      <w:r w:rsidR="007C4A68" w:rsidRPr="007C4A68">
        <w:rPr>
          <w:rFonts w:ascii="Times New Roman" w:eastAsia="Times New Roman" w:hAnsi="Times New Roman" w:cs="Times New Roman"/>
          <w:i/>
          <w:iCs/>
          <w:sz w:val="24"/>
          <w:szCs w:val="24"/>
        </w:rPr>
        <w:t>Id</w:t>
      </w:r>
      <w:r w:rsidR="007C4A68" w:rsidRPr="007C4A68">
        <w:rPr>
          <w:rFonts w:ascii="Times New Roman" w:eastAsia="Times New Roman" w:hAnsi="Times New Roman" w:cs="Times New Roman"/>
          <w:sz w:val="24"/>
          <w:szCs w:val="24"/>
        </w:rPr>
        <w:t>.</w:t>
      </w:r>
    </w:p>
    <w:bookmarkStart w:id="11" w:name="_ftn6"/>
    <w:p w:rsidR="007C4A68" w:rsidRPr="007C4A68" w:rsidRDefault="006A45A0"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fldChar w:fldCharType="begin"/>
      </w:r>
      <w:r w:rsidR="007C4A68" w:rsidRPr="007C4A68">
        <w:rPr>
          <w:rFonts w:ascii="Times New Roman" w:eastAsia="Times New Roman" w:hAnsi="Times New Roman" w:cs="Times New Roman"/>
          <w:sz w:val="24"/>
          <w:szCs w:val="24"/>
        </w:rPr>
        <w:instrText xml:space="preserve"> HYPERLINK "https://supremecourtcase.wordpress.com/" \l "_ftnref6" </w:instrText>
      </w:r>
      <w:r w:rsidRPr="007C4A68">
        <w:rPr>
          <w:rFonts w:ascii="Times New Roman" w:eastAsia="Times New Roman" w:hAnsi="Times New Roman" w:cs="Times New Roman"/>
          <w:sz w:val="24"/>
          <w:szCs w:val="24"/>
        </w:rPr>
        <w:fldChar w:fldCharType="separate"/>
      </w:r>
      <w:r w:rsidR="007C4A68" w:rsidRPr="007C4A68">
        <w:rPr>
          <w:rFonts w:ascii="Times New Roman" w:eastAsia="Times New Roman" w:hAnsi="Times New Roman" w:cs="Times New Roman"/>
          <w:color w:val="0000FF"/>
          <w:sz w:val="24"/>
          <w:szCs w:val="24"/>
          <w:u w:val="single"/>
        </w:rPr>
        <w:t>[6]</w:t>
      </w:r>
      <w:r w:rsidRPr="007C4A68">
        <w:rPr>
          <w:rFonts w:ascii="Times New Roman" w:eastAsia="Times New Roman" w:hAnsi="Times New Roman" w:cs="Times New Roman"/>
          <w:sz w:val="24"/>
          <w:szCs w:val="24"/>
        </w:rPr>
        <w:fldChar w:fldCharType="end"/>
      </w:r>
      <w:r w:rsidR="007C4A68" w:rsidRPr="007C4A68">
        <w:rPr>
          <w:rFonts w:ascii="Times New Roman" w:eastAsia="Times New Roman" w:hAnsi="Times New Roman" w:cs="Times New Roman"/>
          <w:sz w:val="24"/>
          <w:szCs w:val="24"/>
        </w:rPr>
        <w:t xml:space="preserve"> The record of these cases is a presentation of law, fact, and evidence not found anywhere else.</w:t>
      </w:r>
    </w:p>
    <w:p w:rsidR="007C4A68" w:rsidRPr="007C4A68" w:rsidRDefault="007C4A68" w:rsidP="007C4A68">
      <w:pPr>
        <w:spacing w:after="0"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Standard </w:t>
      </w:r>
    </w:p>
    <w:p w:rsidR="007C4A68" w:rsidRPr="007C4A68" w:rsidRDefault="006A45A0" w:rsidP="007C4A68">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28" w:history="1">
        <w:r w:rsidR="007C4A68" w:rsidRPr="007C4A68">
          <w:rPr>
            <w:rFonts w:ascii="Times New Roman" w:eastAsia="Times New Roman" w:hAnsi="Times New Roman" w:cs="Times New Roman"/>
            <w:b/>
            <w:bCs/>
            <w:color w:val="0000FF"/>
            <w:kern w:val="36"/>
            <w:sz w:val="48"/>
            <w:szCs w:val="48"/>
            <w:u w:val="single"/>
          </w:rPr>
          <w:t>Sister Federal tax case: Judge and DOJ attorneys abandon case midstream, decline to participate any further</w:t>
        </w:r>
      </w:hyperlink>
    </w:p>
    <w:p w:rsidR="007C4A68" w:rsidRPr="007C4A68" w:rsidRDefault="006A45A0" w:rsidP="007C4A68">
      <w:pPr>
        <w:spacing w:after="0" w:line="240" w:lineRule="auto"/>
        <w:rPr>
          <w:rFonts w:ascii="Times New Roman" w:eastAsia="Times New Roman" w:hAnsi="Times New Roman" w:cs="Times New Roman"/>
          <w:sz w:val="24"/>
          <w:szCs w:val="24"/>
        </w:rPr>
      </w:pPr>
      <w:hyperlink r:id="rId29" w:tooltip="18:55" w:history="1">
        <w:r w:rsidR="007C4A68" w:rsidRPr="007C4A68">
          <w:rPr>
            <w:rFonts w:ascii="Times New Roman" w:eastAsia="Times New Roman" w:hAnsi="Times New Roman" w:cs="Times New Roman"/>
            <w:color w:val="0000FF"/>
            <w:sz w:val="24"/>
            <w:szCs w:val="24"/>
            <w:u w:val="single"/>
          </w:rPr>
          <w:t>October 28, 2015</w:t>
        </w:r>
      </w:hyperlink>
      <w:hyperlink r:id="rId30" w:tooltip="View all posts by supremecourtcase" w:history="1">
        <w:r w:rsidR="007C4A68" w:rsidRPr="007C4A68">
          <w:rPr>
            <w:rFonts w:ascii="Times New Roman" w:eastAsia="Times New Roman" w:hAnsi="Times New Roman" w:cs="Times New Roman"/>
            <w:color w:val="0000FF"/>
            <w:sz w:val="24"/>
            <w:szCs w:val="24"/>
            <w:u w:val="single"/>
          </w:rPr>
          <w:t>supremecourtcase</w:t>
        </w:r>
      </w:hyperlink>
      <w:r w:rsidR="007C4A68" w:rsidRPr="007C4A68">
        <w:rPr>
          <w:rFonts w:ascii="Times New Roman" w:eastAsia="Times New Roman" w:hAnsi="Times New Roman" w:cs="Times New Roman"/>
          <w:sz w:val="24"/>
          <w:szCs w:val="24"/>
        </w:rPr>
        <w:t xml:space="preserve"> </w:t>
      </w:r>
      <w:hyperlink r:id="rId31" w:anchor="respond" w:history="1">
        <w:r w:rsidR="007C4A68" w:rsidRPr="007C4A68">
          <w:rPr>
            <w:rFonts w:ascii="Times New Roman" w:eastAsia="Times New Roman" w:hAnsi="Times New Roman" w:cs="Times New Roman"/>
            <w:color w:val="0000FF"/>
            <w:sz w:val="24"/>
            <w:szCs w:val="24"/>
            <w:u w:val="single"/>
          </w:rPr>
          <w:t>Leave a comment</w:t>
        </w:r>
      </w:hyperlink>
      <w:r w:rsidR="007C4A68" w:rsidRPr="007C4A68">
        <w:rPr>
          <w:rFonts w:ascii="Times New Roman" w:eastAsia="Times New Roman" w:hAnsi="Times New Roman" w:cs="Times New Roman"/>
          <w:sz w:val="24"/>
          <w:szCs w:val="24"/>
        </w:rPr>
        <w:t xml:space="preserve"> </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On September 14, 2015, Petitioner filed in United States District Court, Eastern District of Texas, Lufkin Division Case No. 9:14-CV-138, </w:t>
      </w:r>
      <w:hyperlink r:id="rId32" w:tgtFrame="_blank" w:history="1">
        <w:r w:rsidRPr="007C4A68">
          <w:rPr>
            <w:rFonts w:ascii="Times New Roman" w:eastAsia="Times New Roman" w:hAnsi="Times New Roman" w:cs="Times New Roman"/>
            <w:i/>
            <w:iCs/>
            <w:color w:val="0000FF"/>
            <w:sz w:val="24"/>
            <w:szCs w:val="24"/>
            <w:u w:val="single"/>
          </w:rPr>
          <w:t>Defendant’s Objection to Denial of Due Process of Law and Demand for Disclosure of the Constitutional Authority that Gives the Court the Capacity to Take Jurisdiction and Enter Judgments, Orders, and Decrees in Favor of the United States Arising from a Civil or Criminal Proceeding Regarding a Debt, in Tyler County, Texas</w:t>
        </w:r>
      </w:hyperlink>
      <w:r w:rsidRPr="007C4A68">
        <w:rPr>
          <w:rFonts w:ascii="Times New Roman" w:eastAsia="Times New Roman" w:hAnsi="Times New Roman" w:cs="Times New Roman"/>
          <w:sz w:val="24"/>
          <w:szCs w:val="24"/>
        </w:rPr>
        <w:t xml:space="preserve"> (</w:t>
      </w:r>
      <w:r w:rsidRPr="007C4A68">
        <w:rPr>
          <w:rFonts w:ascii="Times New Roman" w:eastAsia="Times New Roman" w:hAnsi="Times New Roman" w:cs="Times New Roman"/>
          <w:sz w:val="24"/>
          <w:szCs w:val="24"/>
          <w:u w:val="single"/>
        </w:rPr>
        <w:t>the “Objection and Demand”</w:t>
      </w:r>
      <w:r w:rsidRPr="007C4A68">
        <w:rPr>
          <w:rFonts w:ascii="Times New Roman" w:eastAsia="Times New Roman" w:hAnsi="Times New Roman" w:cs="Times New Roman"/>
          <w:sz w:val="24"/>
          <w:szCs w:val="24"/>
        </w:rPr>
        <w: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Plaintiff United States had 14 days to respond, but went silent (first and only time of which Petitioner is aware, that the government failed to respond to a challenge of jurisdiction).</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As of September 29, 2015, it was incumbent on the Court to dismiss the case under Federal Rule of Civil Procedure </w:t>
      </w:r>
      <w:hyperlink r:id="rId33" w:tgtFrame="_blank" w:history="1">
        <w:r w:rsidRPr="007C4A68">
          <w:rPr>
            <w:rFonts w:ascii="Times New Roman" w:eastAsia="Times New Roman" w:hAnsi="Times New Roman" w:cs="Times New Roman"/>
            <w:color w:val="0000FF"/>
            <w:sz w:val="24"/>
            <w:szCs w:val="24"/>
            <w:u w:val="single"/>
          </w:rPr>
          <w:t>12(b)(1) or (h)(3)</w:t>
        </w:r>
      </w:hyperlink>
      <w:r w:rsidRPr="007C4A68">
        <w:rPr>
          <w:rFonts w:ascii="Times New Roman" w:eastAsia="Times New Roman" w:hAnsi="Times New Roman" w:cs="Times New Roman"/>
          <w:sz w:val="24"/>
          <w:szCs w:val="24"/>
        </w:rPr>
        <w:t xml:space="preserve"> or </w:t>
      </w:r>
      <w:hyperlink r:id="rId34" w:tgtFrame="_blank" w:history="1">
        <w:r w:rsidRPr="007C4A68">
          <w:rPr>
            <w:rFonts w:ascii="Times New Roman" w:eastAsia="Times New Roman" w:hAnsi="Times New Roman" w:cs="Times New Roman"/>
            <w:color w:val="0000FF"/>
            <w:sz w:val="24"/>
            <w:szCs w:val="24"/>
            <w:u w:val="single"/>
          </w:rPr>
          <w:t>41(b)</w:t>
        </w:r>
      </w:hyperlink>
      <w:r w:rsidRPr="007C4A68">
        <w:rPr>
          <w:rFonts w:ascii="Times New Roman" w:eastAsia="Times New Roman" w:hAnsi="Times New Roman" w:cs="Times New Roman"/>
          <w:sz w:val="24"/>
          <w:szCs w:val="24"/>
        </w:rPr>
        <w: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The Court, however, stood mute.</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Thereafter, Petitioner filed on September 30, 2015, Petitioner’s </w:t>
      </w:r>
      <w:hyperlink r:id="rId35" w:tgtFrame="_blank" w:history="1">
        <w:r w:rsidRPr="007C4A68">
          <w:rPr>
            <w:rFonts w:ascii="Times New Roman" w:eastAsia="Times New Roman" w:hAnsi="Times New Roman" w:cs="Times New Roman"/>
            <w:i/>
            <w:iCs/>
            <w:color w:val="0000FF"/>
            <w:sz w:val="24"/>
            <w:szCs w:val="24"/>
            <w:u w:val="single"/>
          </w:rPr>
          <w:t>Demand for Dismissal, with Prejudice, of this Alleged Case for Lack of Constitutional Authority that Gives the Court the Capacity to Take Jurisdiction and Enter Judgments, Orders, and Decrees in Favor of the United States Arising from a Civil or Criminal Proceeding Regarding a Debt, in Tyler County, Texas</w:t>
        </w:r>
      </w:hyperlink>
      <w:r w:rsidRPr="007C4A68">
        <w:rPr>
          <w:rFonts w:ascii="Times New Roman" w:eastAsia="Times New Roman" w:hAnsi="Times New Roman" w:cs="Times New Roman"/>
          <w:sz w:val="24"/>
          <w:szCs w:val="24"/>
        </w:rPr>
        <w:t xml:space="preserve"> (</w:t>
      </w:r>
      <w:r w:rsidRPr="007C4A68">
        <w:rPr>
          <w:rFonts w:ascii="Times New Roman" w:eastAsia="Times New Roman" w:hAnsi="Times New Roman" w:cs="Times New Roman"/>
          <w:sz w:val="24"/>
          <w:szCs w:val="24"/>
          <w:u w:val="single"/>
        </w:rPr>
        <w:t>the “Demand for Dismissal”</w:t>
      </w:r>
      <w:r w:rsidRPr="007C4A68">
        <w:rPr>
          <w:rFonts w:ascii="Times New Roman" w:eastAsia="Times New Roman" w:hAnsi="Times New Roman" w:cs="Times New Roman"/>
          <w:sz w:val="24"/>
          <w:szCs w:val="24"/>
        </w:rPr>
        <w: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Plaintiff had until October 14, 2015, to produce the constitutional authority that gives the Court the capacity to take jurisdiction in Tyler County, Texas.</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As of this post (October 28, 2015), 44 days have passed since the filing of the Objection and Demand and 28 since the Demand for Dismissal and neither the judge nor either of the Department of Justice attorneys has responded in any way following Petitioner’s demands.</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b/>
          <w:bCs/>
          <w:i/>
          <w:iCs/>
          <w:sz w:val="24"/>
          <w:szCs w:val="24"/>
          <w:u w:val="single"/>
        </w:rPr>
        <w:t>The reason neither the judge nor DOJ attorneys will respond or confirm or deny Petitioner’s filings, is that anything that any of them may say in writing—whether for or against Petitioner—will evince treason to the Constitution, not only on their part, but on the part of every other Federal judge and DOJ attorney doing business anywhere in the Union.</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Notwithstanding that the penalty for treason to the Constitution is death, the Federal judge and DOJ attorneys in this case have a more pressing situation on their hands:</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i/>
          <w:iCs/>
          <w:sz w:val="24"/>
          <w:szCs w:val="24"/>
        </w:rPr>
        <w:t>The entire fraudulent Federal judicial apparatus is at stake because no contemporary Federal court has the capacity to take jurisdiction and enter judgments, orders, or decrees in favor of the United States arising from a civil or criminal proceeding regarding a debt, in any county, parish, or borough in America—and there is no reason why the above filings from this case will not produce the same results in any other Federal case, civil or criminal, anywhere in the Union.</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If the Department of Justice cannot win a case anywhere in America, the days of the hoax of Federal jurisdiction over the American People are numbered.</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The sister Federal tax case in the Lufkin Division was an attempt to foreclose on Federal tax liens filed against Petitioner’s ranch. Judge and plaintiff having departed the field of battle, said case is over in substance—Petitioner prevailing.</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Regarding the original Federal tax case, United States District Court, Southern District of Texas, Houston Division Civil No. 4:14-cv-0027 (which the Supreme Court declined to review): There are other remedies available to Petitioner and Petitioner is pursuing them. Developments will be posted on this website as they occur.</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 </w:t>
      </w:r>
      <w:r w:rsidRPr="007C4A68">
        <w:rPr>
          <w:rFonts w:ascii="Times New Roman" w:eastAsia="Times New Roman" w:hAnsi="Times New Roman" w:cs="Times New Roman"/>
          <w:i/>
          <w:iCs/>
          <w:sz w:val="24"/>
          <w:szCs w:val="24"/>
        </w:rPr>
        <w:t xml:space="preserve">* * </w:t>
      </w:r>
      <w:r w:rsidRPr="007C4A68">
        <w:rPr>
          <w:rFonts w:ascii="Times New Roman" w:eastAsia="Times New Roman" w:hAnsi="Times New Roman" w:cs="Times New Roman"/>
          <w:sz w:val="24"/>
          <w:szCs w:val="24"/>
        </w:rPr>
        <w: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Note: If a sufficient number of requests are received (under “Leave a comment” in the left-hand margin above), Petitioner will make available in PDF format on this website the docket and full contents of the record of both the original Houston Division case and the sister Federal tax case in the Lufkin Division. The record of these two cases chronicles and documents certain seminal congressional acts that are not taught in any school but have been used to deceive and deprive the American People of the unalienable and constitutional Right of Liberty and foist upon them (1) so-called civil (municipal) rights, (2) rules and regulations (statutes), and (3) municipal (Roman civil) law—a state of affairs abhorrent to the Founding Fathers and Framers of the Constitution for which they all risked their life to escape. The Lufkin Division case is the first time in American history that a defendant overcame and nullified the hoax of Federal jurisdiction and caused the United States District Judge, United States Attorney, and Assistant United States Attorney to flee.</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b/>
          <w:bCs/>
          <w:sz w:val="24"/>
          <w:szCs w:val="24"/>
          <w:u w:val="single"/>
        </w:rPr>
        <w:t>Update</w:t>
      </w:r>
      <w:r w:rsidRPr="007C4A68">
        <w:rPr>
          <w:rFonts w:ascii="Times New Roman" w:eastAsia="Times New Roman" w:hAnsi="Times New Roman" w:cs="Times New Roman"/>
          <w:sz w:val="24"/>
          <w:szCs w:val="24"/>
        </w:rPr>
        <w:t xml:space="preserve">: </w:t>
      </w:r>
      <w:hyperlink r:id="rId36" w:history="1">
        <w:r w:rsidRPr="007C4A68">
          <w:rPr>
            <w:rFonts w:ascii="Times New Roman" w:eastAsia="Times New Roman" w:hAnsi="Times New Roman" w:cs="Times New Roman"/>
            <w:color w:val="0000FF"/>
            <w:sz w:val="24"/>
            <w:szCs w:val="24"/>
            <w:u w:val="single"/>
          </w:rPr>
          <w:t>Docket and record of all cases now available. Click here.</w:t>
        </w:r>
      </w:hyperlink>
    </w:p>
    <w:p w:rsidR="007C4A68" w:rsidRPr="007C4A68" w:rsidRDefault="007C4A68" w:rsidP="007C4A68">
      <w:pPr>
        <w:spacing w:after="0"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Standard </w:t>
      </w:r>
    </w:p>
    <w:p w:rsidR="007C4A68" w:rsidRPr="007C4A68" w:rsidRDefault="006A45A0" w:rsidP="007C4A68">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37" w:history="1">
        <w:r w:rsidR="007C4A68" w:rsidRPr="007C4A68">
          <w:rPr>
            <w:rFonts w:ascii="Times New Roman" w:eastAsia="Times New Roman" w:hAnsi="Times New Roman" w:cs="Times New Roman"/>
            <w:b/>
            <w:bCs/>
            <w:color w:val="0000FF"/>
            <w:kern w:val="36"/>
            <w:sz w:val="48"/>
            <w:szCs w:val="48"/>
            <w:u w:val="single"/>
          </w:rPr>
          <w:t>Sister Federal tax case: Petitioner demands Court’s constitutional authority; plaintiff and Court go silent; Petitioner demands immediate dismissal and costs, restitution, and damages of $1,841,451.45</w:t>
        </w:r>
      </w:hyperlink>
    </w:p>
    <w:p w:rsidR="007C4A68" w:rsidRPr="007C4A68" w:rsidRDefault="006A45A0" w:rsidP="007C4A68">
      <w:pPr>
        <w:spacing w:after="0" w:line="240" w:lineRule="auto"/>
        <w:rPr>
          <w:rFonts w:ascii="Times New Roman" w:eastAsia="Times New Roman" w:hAnsi="Times New Roman" w:cs="Times New Roman"/>
          <w:sz w:val="24"/>
          <w:szCs w:val="24"/>
        </w:rPr>
      </w:pPr>
      <w:hyperlink r:id="rId38" w:tooltip="18:06" w:history="1">
        <w:r w:rsidR="007C4A68" w:rsidRPr="007C4A68">
          <w:rPr>
            <w:rFonts w:ascii="Times New Roman" w:eastAsia="Times New Roman" w:hAnsi="Times New Roman" w:cs="Times New Roman"/>
            <w:color w:val="0000FF"/>
            <w:sz w:val="24"/>
            <w:szCs w:val="24"/>
            <w:u w:val="single"/>
          </w:rPr>
          <w:t>October 1, 2015</w:t>
        </w:r>
      </w:hyperlink>
      <w:hyperlink r:id="rId39" w:tooltip="View all posts by supremecourtcase" w:history="1">
        <w:r w:rsidR="007C4A68" w:rsidRPr="007C4A68">
          <w:rPr>
            <w:rFonts w:ascii="Times New Roman" w:eastAsia="Times New Roman" w:hAnsi="Times New Roman" w:cs="Times New Roman"/>
            <w:color w:val="0000FF"/>
            <w:sz w:val="24"/>
            <w:szCs w:val="24"/>
            <w:u w:val="single"/>
          </w:rPr>
          <w:t>supremecourtcase</w:t>
        </w:r>
      </w:hyperlink>
      <w:r w:rsidR="007C4A68" w:rsidRPr="007C4A68">
        <w:rPr>
          <w:rFonts w:ascii="Times New Roman" w:eastAsia="Times New Roman" w:hAnsi="Times New Roman" w:cs="Times New Roman"/>
          <w:sz w:val="24"/>
          <w:szCs w:val="24"/>
        </w:rPr>
        <w:t xml:space="preserve"> </w:t>
      </w:r>
      <w:hyperlink r:id="rId40" w:anchor="respond" w:history="1">
        <w:r w:rsidR="007C4A68" w:rsidRPr="007C4A68">
          <w:rPr>
            <w:rFonts w:ascii="Times New Roman" w:eastAsia="Times New Roman" w:hAnsi="Times New Roman" w:cs="Times New Roman"/>
            <w:color w:val="0000FF"/>
            <w:sz w:val="24"/>
            <w:szCs w:val="24"/>
            <w:u w:val="single"/>
          </w:rPr>
          <w:t>Leave a comment</w:t>
        </w:r>
      </w:hyperlink>
      <w:r w:rsidR="007C4A68" w:rsidRPr="007C4A68">
        <w:rPr>
          <w:rFonts w:ascii="Times New Roman" w:eastAsia="Times New Roman" w:hAnsi="Times New Roman" w:cs="Times New Roman"/>
          <w:sz w:val="24"/>
          <w:szCs w:val="24"/>
        </w:rPr>
        <w:t xml:space="preserve"> </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The case featured in this website appealed to the Supreme Court is Southern District of Texas, Houston Division No. 4:14-CV-0027.</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There is another case against Petitioner being handled by the same Assistant U.S. Attorney, the sister case: Eastern District of Texas, Lufkin Division No. 9:14-CV-138 (</w:t>
      </w:r>
      <w:r w:rsidRPr="007C4A68">
        <w:rPr>
          <w:rFonts w:ascii="Times New Roman" w:eastAsia="Times New Roman" w:hAnsi="Times New Roman" w:cs="Times New Roman"/>
          <w:sz w:val="24"/>
          <w:szCs w:val="24"/>
          <w:u w:val="single"/>
        </w:rPr>
        <w:t>the “Lufkin Case”</w:t>
      </w:r>
      <w:r w:rsidRPr="007C4A68">
        <w:rPr>
          <w:rFonts w:ascii="Times New Roman" w:eastAsia="Times New Roman" w:hAnsi="Times New Roman" w:cs="Times New Roman"/>
          <w:sz w:val="24"/>
          <w:szCs w:val="24"/>
        </w:rPr>
        <w: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Petitioner’s filings in the Lufkin Case have been fielded by multiple judges and magistrates from three different judicial districts. The government has made no progress in 14 months.</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When Petitioner made </w:t>
      </w:r>
      <w:hyperlink r:id="rId41" w:tgtFrame="_blank" w:history="1">
        <w:r w:rsidRPr="007C4A68">
          <w:rPr>
            <w:rFonts w:ascii="Times New Roman" w:eastAsia="Times New Roman" w:hAnsi="Times New Roman" w:cs="Times New Roman"/>
            <w:color w:val="0000FF"/>
            <w:sz w:val="24"/>
            <w:szCs w:val="24"/>
            <w:u w:val="single"/>
          </w:rPr>
          <w:t xml:space="preserve">a motion for the first judge in the Lufkin Case—Eastern District of Texas Chief Judge Ron Clark—to </w:t>
        </w:r>
        <w:proofErr w:type="spellStart"/>
        <w:r w:rsidRPr="007C4A68">
          <w:rPr>
            <w:rFonts w:ascii="Times New Roman" w:eastAsia="Times New Roman" w:hAnsi="Times New Roman" w:cs="Times New Roman"/>
            <w:color w:val="0000FF"/>
            <w:sz w:val="24"/>
            <w:szCs w:val="24"/>
            <w:u w:val="single"/>
          </w:rPr>
          <w:t>recuse</w:t>
        </w:r>
        <w:proofErr w:type="spellEnd"/>
        <w:r w:rsidRPr="007C4A68">
          <w:rPr>
            <w:rFonts w:ascii="Times New Roman" w:eastAsia="Times New Roman" w:hAnsi="Times New Roman" w:cs="Times New Roman"/>
            <w:color w:val="0000FF"/>
            <w:sz w:val="24"/>
            <w:szCs w:val="24"/>
            <w:u w:val="single"/>
          </w:rPr>
          <w:t xml:space="preserve"> (self-disqualify) himself for incompetence by reason of ignorance of law (and provided evidence proving the same)</w:t>
        </w:r>
      </w:hyperlink>
      <w:r w:rsidRPr="007C4A68">
        <w:rPr>
          <w:rFonts w:ascii="Times New Roman" w:eastAsia="Times New Roman" w:hAnsi="Times New Roman" w:cs="Times New Roman"/>
          <w:sz w:val="24"/>
          <w:szCs w:val="24"/>
        </w:rPr>
        <w:t>, Judge Clark went silent and remained so. Six weeks later the case was removed to a different judicial district (Tyler Division) under a different judge. The case is now back in the Lufkin Division; Judge Clark is not involved.</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For any court to exercise jurisdiction in a particular geographic area, there is a requirement that the Constitution must have given the court the capacity to take it; to wit: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i/>
          <w:iCs/>
          <w:sz w:val="24"/>
          <w:szCs w:val="24"/>
        </w:rPr>
        <w:t>“It remains rudimentary law that “[a]s regards all courts of the United States inferior to this tribunal [</w:t>
      </w:r>
      <w:r w:rsidRPr="007C4A68">
        <w:rPr>
          <w:rFonts w:ascii="Times New Roman" w:eastAsia="Times New Roman" w:hAnsi="Times New Roman" w:cs="Times New Roman"/>
          <w:i/>
          <w:iCs/>
          <w:sz w:val="24"/>
          <w:szCs w:val="24"/>
          <w:u w:val="single"/>
        </w:rPr>
        <w:t>United States Supreme Court</w:t>
      </w:r>
      <w:r w:rsidRPr="007C4A68">
        <w:rPr>
          <w:rFonts w:ascii="Times New Roman" w:eastAsia="Times New Roman" w:hAnsi="Times New Roman" w:cs="Times New Roman"/>
          <w:i/>
          <w:iCs/>
          <w:sz w:val="24"/>
          <w:szCs w:val="24"/>
        </w:rPr>
        <w:t xml:space="preserve">], two things are necessary to create jurisdiction, whether original or appellate. The Constitution must have given to the court the capacity to take it, </w:t>
      </w:r>
      <w:r w:rsidRPr="007C4A68">
        <w:rPr>
          <w:rFonts w:ascii="Times New Roman" w:eastAsia="Times New Roman" w:hAnsi="Times New Roman" w:cs="Times New Roman"/>
          <w:i/>
          <w:iCs/>
          <w:sz w:val="24"/>
          <w:szCs w:val="24"/>
          <w:u w:val="single"/>
        </w:rPr>
        <w:t>and an act of Congress must have supplied it</w:t>
      </w:r>
      <w:r w:rsidRPr="007C4A68">
        <w:rPr>
          <w:rFonts w:ascii="Times New Roman" w:eastAsia="Times New Roman" w:hAnsi="Times New Roman" w:cs="Times New Roman"/>
          <w:i/>
          <w:iCs/>
          <w:sz w:val="24"/>
          <w:szCs w:val="24"/>
        </w:rPr>
        <w:t xml:space="preserve">. . . .” [Emphasis in original.] Finley v. United States, 490 U.S. 545 (1989). </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That a lawsuit is authorized by the statutes of Congress, however, is not, in and of itself, sufficient to vest jurisdiction in any Federal court; to wit: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i/>
          <w:iCs/>
          <w:sz w:val="24"/>
          <w:szCs w:val="24"/>
        </w:rPr>
        <w:t xml:space="preserve">“So, we conclude, as we did in the prior case, that, although these suits may sometimes so present questions arising under the Constitution or laws of the United States that the Federal courts will have jurisdiction, yet the mere fact that a suit is an adverse suit authorized by the statutes of Congress is not in and of itself sufficient to vest jurisdiction in the Federal courts.” Shoshone Mining Co. v. </w:t>
      </w:r>
      <w:proofErr w:type="spellStart"/>
      <w:r w:rsidRPr="007C4A68">
        <w:rPr>
          <w:rFonts w:ascii="Times New Roman" w:eastAsia="Times New Roman" w:hAnsi="Times New Roman" w:cs="Times New Roman"/>
          <w:i/>
          <w:iCs/>
          <w:sz w:val="24"/>
          <w:szCs w:val="24"/>
        </w:rPr>
        <w:t>Rutter</w:t>
      </w:r>
      <w:proofErr w:type="spellEnd"/>
      <w:r w:rsidRPr="007C4A68">
        <w:rPr>
          <w:rFonts w:ascii="Times New Roman" w:eastAsia="Times New Roman" w:hAnsi="Times New Roman" w:cs="Times New Roman"/>
          <w:i/>
          <w:iCs/>
          <w:sz w:val="24"/>
          <w:szCs w:val="24"/>
        </w:rPr>
        <w:t>, 177 U.S. 505, 513 (1900).</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Article III of the Constitution creates the Supreme Court and authorizes Congress to ordain and establish inferior trial courts of </w:t>
      </w:r>
      <w:r w:rsidRPr="007C4A68">
        <w:rPr>
          <w:rFonts w:ascii="Times New Roman" w:eastAsia="Times New Roman" w:hAnsi="Times New Roman" w:cs="Times New Roman"/>
          <w:i/>
          <w:iCs/>
          <w:sz w:val="24"/>
          <w:szCs w:val="24"/>
          <w:u w:val="single"/>
        </w:rPr>
        <w:t>special (or limited) jurisdiction</w:t>
      </w:r>
      <w:r w:rsidRPr="007C4A68">
        <w:rPr>
          <w:rFonts w:ascii="Times New Roman" w:eastAsia="Times New Roman" w:hAnsi="Times New Roman" w:cs="Times New Roman"/>
          <w:sz w:val="24"/>
          <w:szCs w:val="24"/>
        </w:rPr>
        <w:t>—with no authority to exercise general jurisdiction (territorial, personal, and subject matter) anywhere in the Union.</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Courtesy of Congress, however (since no later than June 25, 1948), every United States District Court is a court of </w:t>
      </w:r>
      <w:r w:rsidRPr="007C4A68">
        <w:rPr>
          <w:rFonts w:ascii="Times New Roman" w:eastAsia="Times New Roman" w:hAnsi="Times New Roman" w:cs="Times New Roman"/>
          <w:i/>
          <w:iCs/>
          <w:sz w:val="24"/>
          <w:szCs w:val="24"/>
          <w:u w:val="single"/>
        </w:rPr>
        <w:t>general jurisdiction</w:t>
      </w:r>
      <w:r w:rsidRPr="007C4A68">
        <w:rPr>
          <w:rFonts w:ascii="Times New Roman" w:eastAsia="Times New Roman" w:hAnsi="Times New Roman" w:cs="Times New Roman"/>
          <w:sz w:val="24"/>
          <w:szCs w:val="24"/>
        </w:rPr>
        <w:t> and hears and decides both civil and criminal cases, an implied power granted only in the territorial clause of the Constitution, Article 4 § 3(2), and only in Federal territory, such as the District of Columbia and the territories; to wit, in pertinent part: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i/>
          <w:iCs/>
          <w:sz w:val="24"/>
          <w:szCs w:val="24"/>
        </w:rPr>
        <w:t>“The Congress shall have Power to dispose of and make all needful Rules and Regulations</w:t>
      </w:r>
      <w:r w:rsidRPr="007C4A68">
        <w:rPr>
          <w:rFonts w:ascii="Times New Roman" w:eastAsia="Times New Roman" w:hAnsi="Times New Roman" w:cs="Times New Roman"/>
          <w:sz w:val="24"/>
          <w:szCs w:val="24"/>
        </w:rPr>
        <w:t xml:space="preserve"> </w:t>
      </w:r>
      <w:r w:rsidRPr="007C4A68">
        <w:rPr>
          <w:rFonts w:ascii="Times New Roman" w:eastAsia="Times New Roman" w:hAnsi="Times New Roman" w:cs="Times New Roman"/>
          <w:i/>
          <w:iCs/>
          <w:sz w:val="24"/>
          <w:szCs w:val="24"/>
        </w:rPr>
        <w:t>respecting</w:t>
      </w:r>
      <w:r w:rsidRPr="007C4A68">
        <w:rPr>
          <w:rFonts w:ascii="Times New Roman" w:eastAsia="Times New Roman" w:hAnsi="Times New Roman" w:cs="Times New Roman"/>
          <w:sz w:val="24"/>
          <w:szCs w:val="24"/>
        </w:rPr>
        <w:t xml:space="preserve"> </w:t>
      </w:r>
      <w:r w:rsidRPr="007C4A68">
        <w:rPr>
          <w:rFonts w:ascii="Times New Roman" w:eastAsia="Times New Roman" w:hAnsi="Times New Roman" w:cs="Times New Roman"/>
          <w:i/>
          <w:iCs/>
          <w:sz w:val="24"/>
          <w:szCs w:val="24"/>
        </w:rPr>
        <w:t>the</w:t>
      </w:r>
      <w:r w:rsidRPr="007C4A68">
        <w:rPr>
          <w:rFonts w:ascii="Times New Roman" w:eastAsia="Times New Roman" w:hAnsi="Times New Roman" w:cs="Times New Roman"/>
          <w:sz w:val="24"/>
          <w:szCs w:val="24"/>
        </w:rPr>
        <w:t xml:space="preserve"> </w:t>
      </w:r>
      <w:r w:rsidRPr="007C4A68">
        <w:rPr>
          <w:rFonts w:ascii="Times New Roman" w:eastAsia="Times New Roman" w:hAnsi="Times New Roman" w:cs="Times New Roman"/>
          <w:i/>
          <w:iCs/>
          <w:sz w:val="24"/>
          <w:szCs w:val="24"/>
        </w:rPr>
        <w:t>Territory</w:t>
      </w:r>
      <w:r w:rsidRPr="007C4A68">
        <w:rPr>
          <w:rFonts w:ascii="Times New Roman" w:eastAsia="Times New Roman" w:hAnsi="Times New Roman" w:cs="Times New Roman"/>
          <w:sz w:val="24"/>
          <w:szCs w:val="24"/>
        </w:rPr>
        <w:t xml:space="preserve"> </w:t>
      </w:r>
      <w:r w:rsidRPr="007C4A68">
        <w:rPr>
          <w:rFonts w:ascii="Times New Roman" w:eastAsia="Times New Roman" w:hAnsi="Times New Roman" w:cs="Times New Roman"/>
          <w:i/>
          <w:iCs/>
          <w:sz w:val="24"/>
          <w:szCs w:val="24"/>
        </w:rPr>
        <w:t>or other Property belonging to the United States; . . .”</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All Federal civil and criminal proceedings fall under Title 28 U.S.C. </w:t>
      </w:r>
      <w:r w:rsidRPr="007C4A68">
        <w:rPr>
          <w:rFonts w:ascii="Times New Roman" w:eastAsia="Times New Roman" w:hAnsi="Times New Roman" w:cs="Times New Roman"/>
          <w:i/>
          <w:iCs/>
          <w:sz w:val="24"/>
          <w:szCs w:val="24"/>
        </w:rPr>
        <w:t>Judiciary and Judicial Procedure</w:t>
      </w:r>
      <w:r w:rsidRPr="007C4A68">
        <w:rPr>
          <w:rFonts w:ascii="Times New Roman" w:eastAsia="Times New Roman" w:hAnsi="Times New Roman" w:cs="Times New Roman"/>
          <w:sz w:val="24"/>
          <w:szCs w:val="24"/>
        </w:rPr>
        <w:t xml:space="preserve"> Chapter 176 </w:t>
      </w:r>
      <w:r w:rsidRPr="007C4A68">
        <w:rPr>
          <w:rFonts w:ascii="Times New Roman" w:eastAsia="Times New Roman" w:hAnsi="Times New Roman" w:cs="Times New Roman"/>
          <w:i/>
          <w:iCs/>
          <w:sz w:val="24"/>
          <w:szCs w:val="24"/>
        </w:rPr>
        <w:t>Federal Debt Collection Procedure</w:t>
      </w:r>
      <w:r w:rsidRPr="007C4A68">
        <w:rPr>
          <w:rFonts w:ascii="Times New Roman" w:eastAsia="Times New Roman" w:hAnsi="Times New Roman" w:cs="Times New Roman"/>
          <w:sz w:val="24"/>
          <w:szCs w:val="24"/>
        </w:rPr>
        <w: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Congress define “judgment” in Title 28 U.S.C., Chapter 176, Section 3002(8) as follows:</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i/>
          <w:iCs/>
          <w:sz w:val="24"/>
          <w:szCs w:val="24"/>
        </w:rPr>
        <w:t xml:space="preserve">“‘Judgment’ means a judgment, order, or decree entered in favor of the United States in a court and arising from a civil or criminal proceeding regarding a debt.” </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On September 14, 2015, Petitioner files in the Lufkin Case, </w:t>
      </w:r>
      <w:r w:rsidRPr="007C4A68">
        <w:rPr>
          <w:rFonts w:ascii="Times New Roman" w:eastAsia="Times New Roman" w:hAnsi="Times New Roman" w:cs="Times New Roman"/>
          <w:i/>
          <w:iCs/>
          <w:sz w:val="24"/>
          <w:szCs w:val="24"/>
        </w:rPr>
        <w:t>“Defendant’s Objection to Denial of Due Process of Law and Demand for Disclosure of the Constitutional Authority that Gives the Court the Capacity to Take Jurisdiction and Enter Judgments, Orders, and Decrees in Favor of the United States Arising from a Civil or Criminal Proceeding Regarding a Debt, in Tyler County, Texas”</w:t>
      </w:r>
      <w:r w:rsidRPr="007C4A68">
        <w:rPr>
          <w:rFonts w:ascii="Times New Roman" w:eastAsia="Times New Roman" w:hAnsi="Times New Roman" w:cs="Times New Roman"/>
          <w:sz w:val="24"/>
          <w:szCs w:val="24"/>
        </w:rPr>
        <w:t xml:space="preserve"> (</w:t>
      </w:r>
      <w:r w:rsidRPr="007C4A68">
        <w:rPr>
          <w:rFonts w:ascii="Times New Roman" w:eastAsia="Times New Roman" w:hAnsi="Times New Roman" w:cs="Times New Roman"/>
          <w:sz w:val="24"/>
          <w:szCs w:val="24"/>
          <w:u w:val="single"/>
        </w:rPr>
        <w:t>the “Objection and Demand”</w:t>
      </w:r>
      <w:r w:rsidRPr="007C4A68">
        <w:rPr>
          <w:rFonts w:ascii="Times New Roman" w:eastAsia="Times New Roman" w:hAnsi="Times New Roman" w:cs="Times New Roman"/>
          <w:sz w:val="24"/>
          <w:szCs w:val="24"/>
        </w:rPr>
        <w:t>) (hyperlinked below).</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The statutory period for plaintiff United States to respond to the Objection and Demand is 14 days.</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On September 29, 2015, 15 days after the filing of the Objection and Demand, the record in the Lufkin Case is devoid of response from either plaintiff or the Court—and Petitioner transmits to the clerk on that date, for filing September 30, 2015, </w:t>
      </w:r>
      <w:r w:rsidRPr="007C4A68">
        <w:rPr>
          <w:rFonts w:ascii="Times New Roman" w:eastAsia="Times New Roman" w:hAnsi="Times New Roman" w:cs="Times New Roman"/>
          <w:i/>
          <w:iCs/>
          <w:sz w:val="24"/>
          <w:szCs w:val="24"/>
        </w:rPr>
        <w:t>“Demand for Dismissal, with Prejudice, of this Alleged Case for Lack of Constitutional Authority that Gives the Court the Capacity to Take Jurisdiction and Enter Judgments, Orders, and Decrees in Favor of the United States Arising from a Civil or Criminal Proceeding Regarding a Debt, in Tyler County, Texas”</w:t>
      </w:r>
      <w:r w:rsidRPr="007C4A68">
        <w:rPr>
          <w:rFonts w:ascii="Times New Roman" w:eastAsia="Times New Roman" w:hAnsi="Times New Roman" w:cs="Times New Roman"/>
          <w:sz w:val="24"/>
          <w:szCs w:val="24"/>
        </w:rPr>
        <w:t xml:space="preserve"> (</w:t>
      </w:r>
      <w:r w:rsidRPr="007C4A68">
        <w:rPr>
          <w:rFonts w:ascii="Times New Roman" w:eastAsia="Times New Roman" w:hAnsi="Times New Roman" w:cs="Times New Roman"/>
          <w:sz w:val="24"/>
          <w:szCs w:val="24"/>
          <w:u w:val="single"/>
        </w:rPr>
        <w:t>the “Demand for Dismissal”</w:t>
      </w:r>
      <w:r w:rsidRPr="007C4A68">
        <w:rPr>
          <w:rFonts w:ascii="Times New Roman" w:eastAsia="Times New Roman" w:hAnsi="Times New Roman" w:cs="Times New Roman"/>
          <w:sz w:val="24"/>
          <w:szCs w:val="24"/>
        </w:rPr>
        <w:t>) (hyperlinked below).</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The reason neither plaintiff nor the Lufkin Court could produce the constitutional authority that allows the Court to take jurisdiction and enter judgments, orders, and decrees in favor of the United States arising from a civil or criminal proceeding regarding a debt, in Tyler County, Texas, is because </w:t>
      </w:r>
      <w:r w:rsidRPr="007C4A68">
        <w:rPr>
          <w:rFonts w:ascii="Times New Roman" w:eastAsia="Times New Roman" w:hAnsi="Times New Roman" w:cs="Times New Roman"/>
          <w:b/>
          <w:bCs/>
          <w:i/>
          <w:iCs/>
          <w:sz w:val="24"/>
          <w:szCs w:val="24"/>
          <w:u w:val="single"/>
        </w:rPr>
        <w:t>there is no such constitutional authority</w:t>
      </w:r>
      <w:r w:rsidRPr="007C4A68">
        <w:rPr>
          <w:rFonts w:ascii="Times New Roman" w:eastAsia="Times New Roman" w:hAnsi="Times New Roman" w:cs="Times New Roman"/>
          <w:sz w:val="24"/>
          <w:szCs w:val="24"/>
        </w:rPr>
        <w: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For the Lufkin Court to reveal that it is using Article 4 § 3(2) of the Constitution to take jurisdiction in Tyler County, Texas, and extend its jurisdiction beyond the boundaries fixed by the Constitution for territorial courts of </w:t>
      </w:r>
      <w:r w:rsidRPr="007C4A68">
        <w:rPr>
          <w:rFonts w:ascii="Times New Roman" w:eastAsia="Times New Roman" w:hAnsi="Times New Roman" w:cs="Times New Roman"/>
          <w:i/>
          <w:iCs/>
          <w:sz w:val="24"/>
          <w:szCs w:val="24"/>
        </w:rPr>
        <w:t>general jurisdiction</w:t>
      </w:r>
      <w:r w:rsidRPr="007C4A68">
        <w:rPr>
          <w:rFonts w:ascii="Times New Roman" w:eastAsia="Times New Roman" w:hAnsi="Times New Roman" w:cs="Times New Roman"/>
          <w:sz w:val="24"/>
          <w:szCs w:val="24"/>
        </w:rPr>
        <w:t xml:space="preserve"> into geographic area fixed by the Constitution exclusively for constitutional courts of </w:t>
      </w:r>
      <w:r w:rsidRPr="007C4A68">
        <w:rPr>
          <w:rFonts w:ascii="Times New Roman" w:eastAsia="Times New Roman" w:hAnsi="Times New Roman" w:cs="Times New Roman"/>
          <w:i/>
          <w:iCs/>
          <w:sz w:val="24"/>
          <w:szCs w:val="24"/>
        </w:rPr>
        <w:t>special (or limited) jurisdiction</w:t>
      </w:r>
      <w:r w:rsidRPr="007C4A68">
        <w:rPr>
          <w:rFonts w:ascii="Times New Roman" w:eastAsia="Times New Roman" w:hAnsi="Times New Roman" w:cs="Times New Roman"/>
          <w:sz w:val="24"/>
          <w:szCs w:val="24"/>
        </w:rPr>
        <w:t>, would be to confess to usurpation of exercise of jurisdiction and treason to the Constitution.</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“How can this be?” or “How can they get away with this?” you may ask.</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The answer is simple.</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When Congress define a word or expression by legislative act, the ordinary and popular meaning (as found in the dictionary or encyclopedia) is stripped away and the new term means only what Congress define it to mean—and there is no discretion for anyone to take such term in any other way than provided in the statute.</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In all civil and criminal proceedings in United States District Courts, “United States” is a term with a special definition and meaning.</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In Title 28 U.S.C. </w:t>
      </w:r>
      <w:r w:rsidRPr="007C4A68">
        <w:rPr>
          <w:rFonts w:ascii="Times New Roman" w:eastAsia="Times New Roman" w:hAnsi="Times New Roman" w:cs="Times New Roman"/>
          <w:i/>
          <w:iCs/>
          <w:sz w:val="24"/>
          <w:szCs w:val="24"/>
        </w:rPr>
        <w:t>Judiciary and Judicial Procedure</w:t>
      </w:r>
      <w:r w:rsidRPr="007C4A68">
        <w:rPr>
          <w:rFonts w:ascii="Times New Roman" w:eastAsia="Times New Roman" w:hAnsi="Times New Roman" w:cs="Times New Roman"/>
          <w:sz w:val="24"/>
          <w:szCs w:val="24"/>
        </w:rPr>
        <w:t xml:space="preserve">, in the chapter and section that defines “court,” “debt,” “judgment,” and “United States” (Chapter 176 </w:t>
      </w:r>
      <w:r w:rsidRPr="007C4A68">
        <w:rPr>
          <w:rFonts w:ascii="Times New Roman" w:eastAsia="Times New Roman" w:hAnsi="Times New Roman" w:cs="Times New Roman"/>
          <w:i/>
          <w:iCs/>
          <w:sz w:val="24"/>
          <w:szCs w:val="24"/>
        </w:rPr>
        <w:t>Federal Debt Collection Procedure</w:t>
      </w:r>
      <w:r w:rsidRPr="007C4A68">
        <w:rPr>
          <w:rFonts w:ascii="Times New Roman" w:eastAsia="Times New Roman" w:hAnsi="Times New Roman" w:cs="Times New Roman"/>
          <w:sz w:val="24"/>
          <w:szCs w:val="24"/>
        </w:rPr>
        <w:t xml:space="preserve">, Section 3002), “United States” means </w:t>
      </w:r>
      <w:r w:rsidRPr="007C4A68">
        <w:rPr>
          <w:rFonts w:ascii="Times New Roman" w:eastAsia="Times New Roman" w:hAnsi="Times New Roman" w:cs="Times New Roman"/>
          <w:i/>
          <w:iCs/>
          <w:sz w:val="24"/>
          <w:szCs w:val="24"/>
          <w:u w:val="single"/>
        </w:rPr>
        <w:t>a Federal corporation</w:t>
      </w:r>
      <w:r w:rsidRPr="007C4A68">
        <w:rPr>
          <w:rFonts w:ascii="Times New Roman" w:eastAsia="Times New Roman" w:hAnsi="Times New Roman" w:cs="Times New Roman"/>
          <w:sz w:val="24"/>
          <w:szCs w:val="24"/>
        </w:rPr>
        <w:t xml:space="preserve"> (28 U.S.C. 3002(15)).</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In the United States District Court conducting the Lufkin Case, “United States” means </w:t>
      </w:r>
      <w:r w:rsidRPr="007C4A68">
        <w:rPr>
          <w:rFonts w:ascii="Times New Roman" w:eastAsia="Times New Roman" w:hAnsi="Times New Roman" w:cs="Times New Roman"/>
          <w:i/>
          <w:iCs/>
          <w:sz w:val="24"/>
          <w:szCs w:val="24"/>
        </w:rPr>
        <w:t>a Federal corporation</w:t>
      </w:r>
      <w:r w:rsidRPr="007C4A68">
        <w:rPr>
          <w:rFonts w:ascii="Times New Roman" w:eastAsia="Times New Roman" w:hAnsi="Times New Roman" w:cs="Times New Roman"/>
          <w:sz w:val="24"/>
          <w:szCs w:val="24"/>
        </w:rPr>
        <w:t>—and the ultimate parent Federal corporation, over all other Federal entities of any kind—is the District of Columbia Municipal Corporation.</w:t>
      </w:r>
      <w:hyperlink r:id="rId42" w:anchor="_ftn1" w:history="1">
        <w:r w:rsidRPr="007C4A68">
          <w:rPr>
            <w:rFonts w:ascii="Times New Roman" w:eastAsia="Times New Roman" w:hAnsi="Times New Roman" w:cs="Times New Roman"/>
            <w:color w:val="0000FF"/>
            <w:sz w:val="24"/>
            <w:szCs w:val="24"/>
            <w:u w:val="single"/>
          </w:rPr>
          <w:t>[1]</w:t>
        </w:r>
      </w:hyperlink>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Every appearance of “United States” in anything and everything relating to Federal district courts means, literally, </w:t>
      </w:r>
      <w:r w:rsidRPr="007C4A68">
        <w:rPr>
          <w:rFonts w:ascii="Times New Roman" w:eastAsia="Times New Roman" w:hAnsi="Times New Roman" w:cs="Times New Roman"/>
          <w:i/>
          <w:iCs/>
          <w:sz w:val="24"/>
          <w:szCs w:val="24"/>
        </w:rPr>
        <w:t>District of Columbia Municipal Corporation</w:t>
      </w:r>
      <w:r w:rsidRPr="007C4A68">
        <w:rPr>
          <w:rFonts w:ascii="Times New Roman" w:eastAsia="Times New Roman" w:hAnsi="Times New Roman" w:cs="Times New Roman"/>
          <w:sz w:val="24"/>
          <w:szCs w:val="24"/>
        </w:rPr>
        <w:t>; e.g.:</w:t>
      </w:r>
    </w:p>
    <w:p w:rsidR="007C4A68" w:rsidRPr="007C4A68" w:rsidRDefault="007C4A68" w:rsidP="007C4A6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“Congress of the United States” means, literally, </w:t>
      </w:r>
      <w:r w:rsidRPr="007C4A68">
        <w:rPr>
          <w:rFonts w:ascii="Times New Roman" w:eastAsia="Times New Roman" w:hAnsi="Times New Roman" w:cs="Times New Roman"/>
          <w:i/>
          <w:iCs/>
          <w:sz w:val="24"/>
          <w:szCs w:val="24"/>
        </w:rPr>
        <w:t>Congress of the District of Columbia Municipal Corporation.</w:t>
      </w:r>
    </w:p>
    <w:p w:rsidR="007C4A68" w:rsidRPr="007C4A68" w:rsidRDefault="007C4A68" w:rsidP="007C4A6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“Title 28 United States Code” means, literally, </w:t>
      </w:r>
      <w:r w:rsidRPr="007C4A68">
        <w:rPr>
          <w:rFonts w:ascii="Times New Roman" w:eastAsia="Times New Roman" w:hAnsi="Times New Roman" w:cs="Times New Roman"/>
          <w:i/>
          <w:iCs/>
          <w:sz w:val="24"/>
          <w:szCs w:val="24"/>
        </w:rPr>
        <w:t>Title 28 District of Columbia Municipal Corporation Code</w:t>
      </w:r>
      <w:r w:rsidRPr="007C4A68">
        <w:rPr>
          <w:rFonts w:ascii="Times New Roman" w:eastAsia="Times New Roman" w:hAnsi="Times New Roman" w:cs="Times New Roman"/>
          <w:sz w:val="24"/>
          <w:szCs w:val="24"/>
        </w:rPr>
        <w:t>.</w:t>
      </w:r>
    </w:p>
    <w:p w:rsidR="007C4A68" w:rsidRPr="007C4A68" w:rsidRDefault="007C4A68" w:rsidP="007C4A6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“United States District Court” means, literally, </w:t>
      </w:r>
      <w:r w:rsidRPr="007C4A68">
        <w:rPr>
          <w:rFonts w:ascii="Times New Roman" w:eastAsia="Times New Roman" w:hAnsi="Times New Roman" w:cs="Times New Roman"/>
          <w:i/>
          <w:iCs/>
          <w:sz w:val="24"/>
          <w:szCs w:val="24"/>
        </w:rPr>
        <w:t>District of Columbia Municipal Corporation District Court</w:t>
      </w:r>
      <w:r w:rsidRPr="007C4A68">
        <w:rPr>
          <w:rFonts w:ascii="Times New Roman" w:eastAsia="Times New Roman" w:hAnsi="Times New Roman" w:cs="Times New Roman"/>
          <w:sz w:val="24"/>
          <w:szCs w:val="24"/>
        </w:rPr>
        <w:t>.</w:t>
      </w:r>
    </w:p>
    <w:p w:rsidR="007C4A68" w:rsidRPr="007C4A68" w:rsidRDefault="007C4A68" w:rsidP="007C4A6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“United States District Judge” means, literally, </w:t>
      </w:r>
      <w:r w:rsidRPr="007C4A68">
        <w:rPr>
          <w:rFonts w:ascii="Times New Roman" w:eastAsia="Times New Roman" w:hAnsi="Times New Roman" w:cs="Times New Roman"/>
          <w:i/>
          <w:iCs/>
          <w:sz w:val="24"/>
          <w:szCs w:val="24"/>
        </w:rPr>
        <w:t>District of Columbia Municipal Corporation District Judge</w:t>
      </w:r>
      <w:r w:rsidRPr="007C4A68">
        <w:rPr>
          <w:rFonts w:ascii="Times New Roman" w:eastAsia="Times New Roman" w:hAnsi="Times New Roman" w:cs="Times New Roman"/>
          <w:sz w:val="24"/>
          <w:szCs w:val="24"/>
        </w:rPr>
        <w:t>.</w:t>
      </w:r>
    </w:p>
    <w:p w:rsidR="007C4A68" w:rsidRPr="007C4A68" w:rsidRDefault="007C4A68" w:rsidP="007C4A6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“United States Attorney” means, literally, </w:t>
      </w:r>
      <w:r w:rsidRPr="007C4A68">
        <w:rPr>
          <w:rFonts w:ascii="Times New Roman" w:eastAsia="Times New Roman" w:hAnsi="Times New Roman" w:cs="Times New Roman"/>
          <w:i/>
          <w:iCs/>
          <w:sz w:val="24"/>
          <w:szCs w:val="24"/>
        </w:rPr>
        <w:t>District of Columbia Municipal Corporation Attorney.</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In Federal civil and criminal proceedings, there is no discretion for anyone to take “United States” any other way.</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Actors in government rely on cognitive dissonance</w:t>
      </w:r>
      <w:hyperlink r:id="rId43" w:anchor="_ftn2" w:history="1">
        <w:r w:rsidRPr="007C4A68">
          <w:rPr>
            <w:rFonts w:ascii="Times New Roman" w:eastAsia="Times New Roman" w:hAnsi="Times New Roman" w:cs="Times New Roman"/>
            <w:color w:val="0000FF"/>
            <w:sz w:val="24"/>
            <w:szCs w:val="24"/>
            <w:u w:val="single"/>
          </w:rPr>
          <w:t>[2]</w:t>
        </w:r>
      </w:hyperlink>
      <w:r w:rsidRPr="007C4A68">
        <w:rPr>
          <w:rFonts w:ascii="Times New Roman" w:eastAsia="Times New Roman" w:hAnsi="Times New Roman" w:cs="Times New Roman"/>
          <w:sz w:val="24"/>
          <w:szCs w:val="24"/>
        </w:rPr>
        <w:t xml:space="preserve"> on the part of victims of the Federal word game to perpetrate the fraud, commit treason to the Constitution, and subject the American People to District of Columbia municipal law.</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The hoax is protected by a culture of silence among all initiates in the Federal judiciary, Department of Justice, and other key positions in government.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And </w:t>
      </w:r>
      <w:r w:rsidRPr="007C4A68">
        <w:rPr>
          <w:rFonts w:ascii="Times New Roman" w:eastAsia="Times New Roman" w:hAnsi="Times New Roman" w:cs="Times New Roman"/>
          <w:i/>
          <w:iCs/>
          <w:sz w:val="24"/>
          <w:szCs w:val="24"/>
        </w:rPr>
        <w:t>that</w:t>
      </w:r>
      <w:r w:rsidRPr="007C4A68">
        <w:rPr>
          <w:rFonts w:ascii="Times New Roman" w:eastAsia="Times New Roman" w:hAnsi="Times New Roman" w:cs="Times New Roman"/>
          <w:sz w:val="24"/>
          <w:szCs w:val="24"/>
        </w:rPr>
        <w:t xml:space="preserve"> is how they get away with it.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In summation: United States District Courts (i.e., Article 4 § 3(2) District of Columbia Municipal Corporation Courts) have extended their jurisdiction beyond the boundaries fixed by the Constitution for territorial courts of </w:t>
      </w:r>
      <w:r w:rsidRPr="007C4A68">
        <w:rPr>
          <w:rFonts w:ascii="Times New Roman" w:eastAsia="Times New Roman" w:hAnsi="Times New Roman" w:cs="Times New Roman"/>
          <w:i/>
          <w:iCs/>
          <w:sz w:val="24"/>
          <w:szCs w:val="24"/>
        </w:rPr>
        <w:t>general jurisdiction</w:t>
      </w:r>
      <w:r w:rsidRPr="007C4A68">
        <w:rPr>
          <w:rFonts w:ascii="Times New Roman" w:eastAsia="Times New Roman" w:hAnsi="Times New Roman" w:cs="Times New Roman"/>
          <w:sz w:val="24"/>
          <w:szCs w:val="24"/>
        </w:rPr>
        <w:t xml:space="preserve"> (District of Columbia and the territories only), into geographic area fixed by the Constitution exclusively for constitutional courts of </w:t>
      </w:r>
      <w:r w:rsidRPr="007C4A68">
        <w:rPr>
          <w:rFonts w:ascii="Times New Roman" w:eastAsia="Times New Roman" w:hAnsi="Times New Roman" w:cs="Times New Roman"/>
          <w:i/>
          <w:iCs/>
          <w:sz w:val="24"/>
          <w:szCs w:val="24"/>
        </w:rPr>
        <w:t>special / limited jurisdiction</w:t>
      </w:r>
      <w:r w:rsidRPr="007C4A68">
        <w:rPr>
          <w:rFonts w:ascii="Times New Roman" w:eastAsia="Times New Roman" w:hAnsi="Times New Roman" w:cs="Times New Roman"/>
          <w:sz w:val="24"/>
          <w:szCs w:val="24"/>
        </w:rPr>
        <w:t xml:space="preserve"> (the Union).</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b/>
          <w:bCs/>
          <w:i/>
          <w:iCs/>
          <w:sz w:val="24"/>
          <w:szCs w:val="24"/>
          <w:u w:val="single"/>
        </w:rPr>
        <w:t>There is no constitutional authority that gives any contemporary United States District Court the capacity to take jurisdiction and enter judgments, orders, and decrees in favor of the United States arising from a civil or criminal proceeding regarding a debt, in any county in America—and no one can produce such authority.</w:t>
      </w:r>
    </w:p>
    <w:p w:rsidR="007C4A68" w:rsidRPr="007C4A68" w:rsidRDefault="006A45A0" w:rsidP="007C4A68">
      <w:pPr>
        <w:spacing w:before="100" w:beforeAutospacing="1" w:after="100" w:afterAutospacing="1" w:line="240" w:lineRule="auto"/>
        <w:rPr>
          <w:rFonts w:ascii="Times New Roman" w:eastAsia="Times New Roman" w:hAnsi="Times New Roman" w:cs="Times New Roman"/>
          <w:sz w:val="24"/>
          <w:szCs w:val="24"/>
        </w:rPr>
      </w:pPr>
      <w:hyperlink r:id="rId44" w:tgtFrame="_blank" w:history="1">
        <w:r w:rsidR="007C4A68" w:rsidRPr="007C4A68">
          <w:rPr>
            <w:rFonts w:ascii="Times New Roman" w:eastAsia="Times New Roman" w:hAnsi="Times New Roman" w:cs="Times New Roman"/>
            <w:color w:val="0000FF"/>
            <w:sz w:val="24"/>
            <w:szCs w:val="24"/>
            <w:u w:val="single"/>
          </w:rPr>
          <w:t>Objection and Demand, September 14, 2015</w:t>
        </w:r>
      </w:hyperlink>
    </w:p>
    <w:p w:rsidR="007C4A68" w:rsidRPr="007C4A68" w:rsidRDefault="006A45A0" w:rsidP="007C4A68">
      <w:pPr>
        <w:spacing w:before="100" w:beforeAutospacing="1" w:after="100" w:afterAutospacing="1" w:line="240" w:lineRule="auto"/>
        <w:rPr>
          <w:rFonts w:ascii="Times New Roman" w:eastAsia="Times New Roman" w:hAnsi="Times New Roman" w:cs="Times New Roman"/>
          <w:sz w:val="24"/>
          <w:szCs w:val="24"/>
        </w:rPr>
      </w:pPr>
      <w:hyperlink r:id="rId45" w:tgtFrame="_blank" w:history="1">
        <w:r w:rsidR="007C4A68" w:rsidRPr="007C4A68">
          <w:rPr>
            <w:rFonts w:ascii="Times New Roman" w:eastAsia="Times New Roman" w:hAnsi="Times New Roman" w:cs="Times New Roman"/>
            <w:color w:val="0000FF"/>
            <w:sz w:val="24"/>
            <w:szCs w:val="24"/>
            <w:u w:val="single"/>
          </w:rPr>
          <w:t>Demand for Dismissal, September 30, 2015</w:t>
        </w:r>
      </w:hyperlink>
    </w:p>
    <w:p w:rsidR="007C4A68" w:rsidRPr="007C4A68" w:rsidRDefault="006A45A0" w:rsidP="007C4A68">
      <w:pPr>
        <w:spacing w:before="100" w:beforeAutospacing="1" w:after="100" w:afterAutospacing="1" w:line="240" w:lineRule="auto"/>
        <w:rPr>
          <w:rFonts w:ascii="Times New Roman" w:eastAsia="Times New Roman" w:hAnsi="Times New Roman" w:cs="Times New Roman"/>
          <w:sz w:val="17"/>
          <w:szCs w:val="17"/>
        </w:rPr>
      </w:pPr>
      <w:hyperlink r:id="rId46" w:anchor="_ftnref1" w:history="1">
        <w:r w:rsidR="007C4A68" w:rsidRPr="007C4A68">
          <w:rPr>
            <w:rFonts w:ascii="Times New Roman" w:eastAsia="Times New Roman" w:hAnsi="Times New Roman" w:cs="Times New Roman"/>
            <w:color w:val="0000FF"/>
            <w:sz w:val="17"/>
            <w:u w:val="single"/>
          </w:rPr>
          <w:t>[1]</w:t>
        </w:r>
      </w:hyperlink>
      <w:r w:rsidR="007C4A68" w:rsidRPr="007C4A68">
        <w:rPr>
          <w:rFonts w:ascii="Times New Roman" w:eastAsia="Times New Roman" w:hAnsi="Times New Roman" w:cs="Times New Roman"/>
          <w:sz w:val="17"/>
          <w:szCs w:val="17"/>
        </w:rPr>
        <w:t xml:space="preserve"> “An Act to provide a Government for the District of Columbia,” </w:t>
      </w:r>
      <w:proofErr w:type="spellStart"/>
      <w:r w:rsidR="007C4A68" w:rsidRPr="007C4A68">
        <w:rPr>
          <w:rFonts w:ascii="Times New Roman" w:eastAsia="Times New Roman" w:hAnsi="Times New Roman" w:cs="Times New Roman"/>
          <w:sz w:val="17"/>
          <w:szCs w:val="17"/>
        </w:rPr>
        <w:t>ch</w:t>
      </w:r>
      <w:proofErr w:type="spellEnd"/>
      <w:r w:rsidR="007C4A68" w:rsidRPr="007C4A68">
        <w:rPr>
          <w:rFonts w:ascii="Times New Roman" w:eastAsia="Times New Roman" w:hAnsi="Times New Roman" w:cs="Times New Roman"/>
          <w:sz w:val="17"/>
          <w:szCs w:val="17"/>
        </w:rPr>
        <w:t xml:space="preserve">. 62, 16 Stat. 419, February 21, 1871; later legislated in “An Act Providing a Permanent Form of Government for the District of Columbia,” </w:t>
      </w:r>
      <w:proofErr w:type="spellStart"/>
      <w:r w:rsidR="007C4A68" w:rsidRPr="007C4A68">
        <w:rPr>
          <w:rFonts w:ascii="Times New Roman" w:eastAsia="Times New Roman" w:hAnsi="Times New Roman" w:cs="Times New Roman"/>
          <w:sz w:val="17"/>
          <w:szCs w:val="17"/>
        </w:rPr>
        <w:t>ch</w:t>
      </w:r>
      <w:proofErr w:type="spellEnd"/>
      <w:r w:rsidR="007C4A68" w:rsidRPr="007C4A68">
        <w:rPr>
          <w:rFonts w:ascii="Times New Roman" w:eastAsia="Times New Roman" w:hAnsi="Times New Roman" w:cs="Times New Roman"/>
          <w:sz w:val="17"/>
          <w:szCs w:val="17"/>
        </w:rPr>
        <w:t xml:space="preserve">. 180, sec. 1, 20 Stat. 102, June 11, 1878, to remain and continue as a municipal corporation (brought forward from the Act of 1871, as provided in the Act of March 2, 1877, amended and approved March 9, 1878, </w:t>
      </w:r>
      <w:r w:rsidR="007C4A68" w:rsidRPr="007C4A68">
        <w:rPr>
          <w:rFonts w:ascii="Times New Roman" w:eastAsia="Times New Roman" w:hAnsi="Times New Roman" w:cs="Times New Roman"/>
          <w:i/>
          <w:iCs/>
          <w:sz w:val="17"/>
        </w:rPr>
        <w:t>Revised Statutes of the United States Relating to the District of Columbia</w:t>
      </w:r>
      <w:r w:rsidR="007C4A68" w:rsidRPr="007C4A68">
        <w:rPr>
          <w:rFonts w:ascii="Times New Roman" w:eastAsia="Times New Roman" w:hAnsi="Times New Roman" w:cs="Times New Roman"/>
          <w:sz w:val="17"/>
          <w:szCs w:val="17"/>
        </w:rPr>
        <w:t xml:space="preserve"> . . .</w:t>
      </w:r>
      <w:r w:rsidR="007C4A68" w:rsidRPr="007C4A68">
        <w:rPr>
          <w:rFonts w:ascii="Times New Roman" w:eastAsia="Times New Roman" w:hAnsi="Times New Roman" w:cs="Times New Roman"/>
          <w:i/>
          <w:iCs/>
          <w:sz w:val="17"/>
        </w:rPr>
        <w:t xml:space="preserve"> 1873–’74 </w:t>
      </w:r>
      <w:r w:rsidR="007C4A68" w:rsidRPr="007C4A68">
        <w:rPr>
          <w:rFonts w:ascii="Times New Roman" w:eastAsia="Times New Roman" w:hAnsi="Times New Roman" w:cs="Times New Roman"/>
          <w:sz w:val="17"/>
          <w:szCs w:val="17"/>
        </w:rPr>
        <w:t xml:space="preserve">(in force as of December 1, 1873), sec. 2, p. 2); as amended by the Act of June 28, 1935, 49 Stat. 430, </w:t>
      </w:r>
      <w:proofErr w:type="spellStart"/>
      <w:r w:rsidR="007C4A68" w:rsidRPr="007C4A68">
        <w:rPr>
          <w:rFonts w:ascii="Times New Roman" w:eastAsia="Times New Roman" w:hAnsi="Times New Roman" w:cs="Times New Roman"/>
          <w:sz w:val="17"/>
          <w:szCs w:val="17"/>
        </w:rPr>
        <w:t>ch</w:t>
      </w:r>
      <w:proofErr w:type="spellEnd"/>
      <w:r w:rsidR="007C4A68" w:rsidRPr="007C4A68">
        <w:rPr>
          <w:rFonts w:ascii="Times New Roman" w:eastAsia="Times New Roman" w:hAnsi="Times New Roman" w:cs="Times New Roman"/>
          <w:sz w:val="17"/>
          <w:szCs w:val="17"/>
        </w:rPr>
        <w:t>. 332, sec. 1 (Title 1, Section 102, District of Columbia Code (1940)).</w:t>
      </w:r>
    </w:p>
    <w:p w:rsidR="007C4A68" w:rsidRPr="007C4A68" w:rsidRDefault="006A45A0" w:rsidP="007C4A68">
      <w:pPr>
        <w:spacing w:before="100" w:beforeAutospacing="1" w:after="100" w:afterAutospacing="1" w:line="240" w:lineRule="auto"/>
        <w:rPr>
          <w:rFonts w:ascii="Times New Roman" w:eastAsia="Times New Roman" w:hAnsi="Times New Roman" w:cs="Times New Roman"/>
          <w:sz w:val="17"/>
          <w:szCs w:val="17"/>
        </w:rPr>
      </w:pPr>
      <w:hyperlink r:id="rId47" w:anchor="_ftnref2" w:history="1">
        <w:r w:rsidR="007C4A68" w:rsidRPr="007C4A68">
          <w:rPr>
            <w:rFonts w:ascii="Times New Roman" w:eastAsia="Times New Roman" w:hAnsi="Times New Roman" w:cs="Times New Roman"/>
            <w:color w:val="0000FF"/>
            <w:sz w:val="17"/>
            <w:u w:val="single"/>
          </w:rPr>
          <w:t>[2]</w:t>
        </w:r>
      </w:hyperlink>
      <w:r w:rsidR="007C4A68" w:rsidRPr="007C4A68">
        <w:rPr>
          <w:rFonts w:ascii="Times New Roman" w:eastAsia="Times New Roman" w:hAnsi="Times New Roman" w:cs="Times New Roman"/>
          <w:sz w:val="17"/>
          <w:szCs w:val="17"/>
        </w:rPr>
        <w:t xml:space="preserve"> In general, people cannot reconcile the 75 absurd, convoluted definitions of “United States” scattered throughout the United States Code with what they </w:t>
      </w:r>
      <w:r w:rsidR="007C4A68" w:rsidRPr="007C4A68">
        <w:rPr>
          <w:rFonts w:ascii="Times New Roman" w:eastAsia="Times New Roman" w:hAnsi="Times New Roman" w:cs="Times New Roman"/>
          <w:i/>
          <w:iCs/>
          <w:sz w:val="17"/>
          <w:u w:val="single"/>
        </w:rPr>
        <w:t>believe</w:t>
      </w:r>
      <w:r w:rsidR="007C4A68" w:rsidRPr="007C4A68">
        <w:rPr>
          <w:rFonts w:ascii="Times New Roman" w:eastAsia="Times New Roman" w:hAnsi="Times New Roman" w:cs="Times New Roman"/>
          <w:sz w:val="17"/>
          <w:szCs w:val="17"/>
        </w:rPr>
        <w:t xml:space="preserve"> is the United States. For those few souls who manage to figure it out and speak up about it, actors in government follow a culture-of-silence policy of “Never respond, confirm, or deny.” Examples of this are (1) Chief Judge Ron Clark’s six weeks of silence following Petitioner’s motion for him to </w:t>
      </w:r>
      <w:proofErr w:type="spellStart"/>
      <w:r w:rsidR="007C4A68" w:rsidRPr="007C4A68">
        <w:rPr>
          <w:rFonts w:ascii="Times New Roman" w:eastAsia="Times New Roman" w:hAnsi="Times New Roman" w:cs="Times New Roman"/>
          <w:sz w:val="17"/>
          <w:szCs w:val="17"/>
        </w:rPr>
        <w:t>recuse</w:t>
      </w:r>
      <w:proofErr w:type="spellEnd"/>
      <w:r w:rsidR="007C4A68" w:rsidRPr="007C4A68">
        <w:rPr>
          <w:rFonts w:ascii="Times New Roman" w:eastAsia="Times New Roman" w:hAnsi="Times New Roman" w:cs="Times New Roman"/>
          <w:sz w:val="17"/>
          <w:szCs w:val="17"/>
        </w:rPr>
        <w:t xml:space="preserve"> himself for incompetence by reason of ignorance of law, and (2) ZERO government progress in the Lufkin Case in more than 14 months.</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17"/>
          <w:szCs w:val="17"/>
        </w:rPr>
      </w:pPr>
      <w:r w:rsidRPr="007C4A68">
        <w:rPr>
          <w:rFonts w:ascii="Times New Roman" w:eastAsia="Times New Roman" w:hAnsi="Times New Roman" w:cs="Times New Roman"/>
          <w:sz w:val="17"/>
          <w:szCs w:val="17"/>
        </w:rPr>
        <w:t>If a particular intended victim persists, government actors may mock / ridicule him by implication by quoting him, as if to say, “Can you believe how crazy this guy is? He thinks the United States is a Federal corporation!” (28 U.S.C. 3002(15)), knowing it will be next to impossible for the victim to secure general agreement in society as to the truth of the matter.</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17"/>
          <w:szCs w:val="17"/>
        </w:rPr>
      </w:pPr>
      <w:r w:rsidRPr="007C4A68">
        <w:rPr>
          <w:rFonts w:ascii="Times New Roman" w:eastAsia="Times New Roman" w:hAnsi="Times New Roman" w:cs="Times New Roman"/>
          <w:sz w:val="17"/>
          <w:szCs w:val="17"/>
        </w:rPr>
        <w:t>Petitioner obviates the cognitive-dissonance factor in the Lufkin Case by going straight to the supreme determinant, upon which the Lufkin Court’s very existence depends: the constitutional authority that gives the Court the capacity to take jurisdiction and enter judgments, orders, and decrees in favor of the United States arising from a civil or criminal proceeding regarding a debt, in Tyler County, Texas. There is no such constitutional authority—and the Lufkin Court and every other United States District Court located throughout the Union is a kangaroo court with no lawful authority to do business in any county, borough, or parish in America.</w:t>
      </w:r>
    </w:p>
    <w:p w:rsidR="007C4A68" w:rsidRPr="007C4A68" w:rsidRDefault="007C4A68" w:rsidP="007C4A68">
      <w:pPr>
        <w:spacing w:after="0"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Standard </w:t>
      </w:r>
    </w:p>
    <w:p w:rsidR="007C4A68" w:rsidRPr="007C4A68" w:rsidRDefault="006A45A0" w:rsidP="007C4A68">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48" w:history="1">
        <w:r w:rsidR="007C4A68" w:rsidRPr="007C4A68">
          <w:rPr>
            <w:rFonts w:ascii="Times New Roman" w:eastAsia="Times New Roman" w:hAnsi="Times New Roman" w:cs="Times New Roman"/>
            <w:b/>
            <w:bCs/>
            <w:color w:val="0000FF"/>
            <w:kern w:val="36"/>
            <w:sz w:val="48"/>
            <w:szCs w:val="48"/>
            <w:u w:val="single"/>
          </w:rPr>
          <w:t>Supreme Court declines to review case; Petitioner moves district court to vacate judgment</w:t>
        </w:r>
      </w:hyperlink>
    </w:p>
    <w:p w:rsidR="007C4A68" w:rsidRPr="007C4A68" w:rsidRDefault="006A45A0" w:rsidP="007C4A68">
      <w:pPr>
        <w:spacing w:after="0" w:line="240" w:lineRule="auto"/>
        <w:rPr>
          <w:rFonts w:ascii="Times New Roman" w:eastAsia="Times New Roman" w:hAnsi="Times New Roman" w:cs="Times New Roman"/>
          <w:sz w:val="24"/>
          <w:szCs w:val="24"/>
        </w:rPr>
      </w:pPr>
      <w:hyperlink r:id="rId49" w:tooltip="10:35" w:history="1">
        <w:r w:rsidR="007C4A68" w:rsidRPr="007C4A68">
          <w:rPr>
            <w:rFonts w:ascii="Times New Roman" w:eastAsia="Times New Roman" w:hAnsi="Times New Roman" w:cs="Times New Roman"/>
            <w:color w:val="0000FF"/>
            <w:sz w:val="24"/>
            <w:szCs w:val="24"/>
            <w:u w:val="single"/>
          </w:rPr>
          <w:t>September 10, 2015</w:t>
        </w:r>
      </w:hyperlink>
      <w:hyperlink r:id="rId50" w:tooltip="View all posts by supremecourtcase" w:history="1">
        <w:r w:rsidR="007C4A68" w:rsidRPr="007C4A68">
          <w:rPr>
            <w:rFonts w:ascii="Times New Roman" w:eastAsia="Times New Roman" w:hAnsi="Times New Roman" w:cs="Times New Roman"/>
            <w:color w:val="0000FF"/>
            <w:sz w:val="24"/>
            <w:szCs w:val="24"/>
            <w:u w:val="single"/>
          </w:rPr>
          <w:t>supremecourtcase</w:t>
        </w:r>
      </w:hyperlink>
      <w:r w:rsidR="007C4A68" w:rsidRPr="007C4A68">
        <w:rPr>
          <w:rFonts w:ascii="Times New Roman" w:eastAsia="Times New Roman" w:hAnsi="Times New Roman" w:cs="Times New Roman"/>
          <w:sz w:val="24"/>
          <w:szCs w:val="24"/>
        </w:rPr>
        <w:t xml:space="preserve"> </w:t>
      </w:r>
      <w:hyperlink r:id="rId51" w:anchor="respond" w:history="1">
        <w:r w:rsidR="007C4A68" w:rsidRPr="007C4A68">
          <w:rPr>
            <w:rFonts w:ascii="Times New Roman" w:eastAsia="Times New Roman" w:hAnsi="Times New Roman" w:cs="Times New Roman"/>
            <w:color w:val="0000FF"/>
            <w:sz w:val="24"/>
            <w:szCs w:val="24"/>
            <w:u w:val="single"/>
          </w:rPr>
          <w:t>Leave a comment</w:t>
        </w:r>
      </w:hyperlink>
      <w:r w:rsidR="007C4A68" w:rsidRPr="007C4A68">
        <w:rPr>
          <w:rFonts w:ascii="Times New Roman" w:eastAsia="Times New Roman" w:hAnsi="Times New Roman" w:cs="Times New Roman"/>
          <w:sz w:val="24"/>
          <w:szCs w:val="24"/>
        </w:rPr>
        <w:t xml:space="preserve"> </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The origins of this case go back 20-plus years and involve an alleged tax liability of more than $3 million, factors that evince a significant investment of time, energy, and resources on the part of the Internal Revenue Service and government to acquire Petitioner’s property.</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Only at the very end of the process, on June 8, 2015, when Petitioner first learns of the Supreme Court’s denial of Petitioner’s </w:t>
      </w:r>
      <w:hyperlink r:id="rId52" w:tgtFrame="_blank" w:history="1">
        <w:r w:rsidRPr="007C4A68">
          <w:rPr>
            <w:rFonts w:ascii="Times New Roman" w:eastAsia="Times New Roman" w:hAnsi="Times New Roman" w:cs="Times New Roman"/>
            <w:color w:val="0000FF"/>
            <w:sz w:val="24"/>
            <w:szCs w:val="24"/>
            <w:u w:val="single"/>
          </w:rPr>
          <w:t>April 29, 2015, Petition for Writ of Certiorari</w:t>
        </w:r>
      </w:hyperlink>
      <w:r w:rsidRPr="007C4A68">
        <w:rPr>
          <w:rFonts w:ascii="Times New Roman" w:eastAsia="Times New Roman" w:hAnsi="Times New Roman" w:cs="Times New Roman"/>
          <w:sz w:val="24"/>
          <w:szCs w:val="24"/>
        </w:rPr>
        <w:t>, does Petitioner find the last piece of the puzzle.</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Said discovery merits a second petition, the </w:t>
      </w:r>
      <w:hyperlink r:id="rId53" w:tgtFrame="_blank" w:history="1">
        <w:r w:rsidRPr="007C4A68">
          <w:rPr>
            <w:rFonts w:ascii="Times New Roman" w:eastAsia="Times New Roman" w:hAnsi="Times New Roman" w:cs="Times New Roman"/>
            <w:color w:val="0000FF"/>
            <w:sz w:val="24"/>
            <w:szCs w:val="24"/>
            <w:u w:val="single"/>
          </w:rPr>
          <w:t>June 30, 2015, Petition for Rehearing</w:t>
        </w:r>
      </w:hyperlink>
      <w:r w:rsidRPr="007C4A68">
        <w:rPr>
          <w:rFonts w:ascii="Times New Roman" w:eastAsia="Times New Roman" w:hAnsi="Times New Roman" w:cs="Times New Roman"/>
          <w:sz w:val="24"/>
          <w:szCs w:val="24"/>
        </w:rPr>
        <w:t>, which the law clerks and justices of the Supreme Court review and accept for consideration, a rarity, within one day of submission.</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Although the Petition for Rehearing presents sufficient grounds for the justices to grant it, it is not surprising that they decline to do so,</w:t>
      </w:r>
      <w:hyperlink r:id="rId54" w:anchor="_ftn1" w:history="1">
        <w:r w:rsidRPr="007C4A68">
          <w:rPr>
            <w:rFonts w:ascii="Times New Roman" w:eastAsia="Times New Roman" w:hAnsi="Times New Roman" w:cs="Times New Roman"/>
            <w:color w:val="0000FF"/>
            <w:sz w:val="24"/>
            <w:szCs w:val="24"/>
            <w:u w:val="single"/>
          </w:rPr>
          <w:t>[1]</w:t>
        </w:r>
      </w:hyperlink>
      <w:r w:rsidRPr="007C4A68">
        <w:rPr>
          <w:rFonts w:ascii="Times New Roman" w:eastAsia="Times New Roman" w:hAnsi="Times New Roman" w:cs="Times New Roman"/>
          <w:sz w:val="24"/>
          <w:szCs w:val="24"/>
        </w:rPr>
        <w:t xml:space="preserve"> given what is at stake: willingness of the average American to continue participating in the “voluntary tax system” (only thing that allows principals of the Federal Reserve to maintain their private banking monopoly</w:t>
      </w:r>
      <w:hyperlink r:id="rId55" w:anchor="_ftn2" w:history="1">
        <w:r w:rsidRPr="007C4A68">
          <w:rPr>
            <w:rFonts w:ascii="Times New Roman" w:eastAsia="Times New Roman" w:hAnsi="Times New Roman" w:cs="Times New Roman"/>
            <w:color w:val="0000FF"/>
            <w:sz w:val="24"/>
            <w:szCs w:val="24"/>
            <w:u w:val="single"/>
          </w:rPr>
          <w:t>[2]</w:t>
        </w:r>
      </w:hyperlink>
      <w:r w:rsidRPr="007C4A68">
        <w:rPr>
          <w:rFonts w:ascii="Times New Roman" w:eastAsia="Times New Roman" w:hAnsi="Times New Roman" w:cs="Times New Roman"/>
          <w:sz w:val="24"/>
          <w:szCs w:val="24"/>
        </w:rPr>
        <w: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The Clerk of the Supreme Court notifies Petitioner of the disposition of the Petition for Rehearing in the Clerk’s </w:t>
      </w:r>
      <w:hyperlink r:id="rId56" w:tgtFrame="_blank" w:history="1">
        <w:r w:rsidRPr="007C4A68">
          <w:rPr>
            <w:rFonts w:ascii="Times New Roman" w:eastAsia="Times New Roman" w:hAnsi="Times New Roman" w:cs="Times New Roman"/>
            <w:color w:val="0000FF"/>
            <w:sz w:val="24"/>
            <w:szCs w:val="24"/>
            <w:u w:val="single"/>
          </w:rPr>
          <w:t>August 10, 2015, notice of entry of order.</w:t>
        </w:r>
      </w:hyperlink>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Federal Rules of Civil Procedure, however, at Rule 60, provide for relief in proceedings of the character of that of the district court of first instance; to wit, in pertinent part:</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i/>
          <w:iCs/>
          <w:sz w:val="24"/>
          <w:szCs w:val="24"/>
        </w:rPr>
        <w:t>“(b) Grounds for Relief from a Final Judgment, Order, or Proceeding. On motion and just terms, the court may relieve a party or its legal representative from a final judgment, order, or proceeding for the following reasons:</w:t>
      </w:r>
      <w:r w:rsidRPr="007C4A68">
        <w:rPr>
          <w:rFonts w:ascii="Times New Roman" w:eastAsia="Times New Roman" w:hAnsi="Times New Roman" w:cs="Times New Roman"/>
          <w:sz w:val="24"/>
          <w:szCs w:val="24"/>
        </w:rPr>
        <w:br/>
      </w:r>
      <w:r w:rsidRPr="007C4A68">
        <w:rPr>
          <w:rFonts w:ascii="Times New Roman" w:eastAsia="Times New Roman" w:hAnsi="Times New Roman" w:cs="Times New Roman"/>
          <w:i/>
          <w:iCs/>
          <w:sz w:val="24"/>
          <w:szCs w:val="24"/>
        </w:rPr>
        <w:t>“. . . (4) the judgment is void;”</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It is well settled that final judgments and orders entered in a manner inconsistent with due process of law—a Right guaranteed by the Fifth Article of Amendment to the Constitution—are void; e.g.:</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i/>
          <w:iCs/>
          <w:sz w:val="24"/>
          <w:szCs w:val="24"/>
        </w:rPr>
        <w:t xml:space="preserve">“The right to a tribunal free from bias or prejudice is based, not on section 144 [of Title 28 U.S.C.], but on the Due Process Clause. . . .” United States v. </w:t>
      </w:r>
      <w:proofErr w:type="spellStart"/>
      <w:r w:rsidRPr="007C4A68">
        <w:rPr>
          <w:rFonts w:ascii="Times New Roman" w:eastAsia="Times New Roman" w:hAnsi="Times New Roman" w:cs="Times New Roman"/>
          <w:i/>
          <w:iCs/>
          <w:sz w:val="24"/>
          <w:szCs w:val="24"/>
        </w:rPr>
        <w:t>Sciuto</w:t>
      </w:r>
      <w:proofErr w:type="spellEnd"/>
      <w:r w:rsidRPr="007C4A68">
        <w:rPr>
          <w:rFonts w:ascii="Times New Roman" w:eastAsia="Times New Roman" w:hAnsi="Times New Roman" w:cs="Times New Roman"/>
          <w:i/>
          <w:iCs/>
          <w:sz w:val="24"/>
          <w:szCs w:val="24"/>
        </w:rPr>
        <w:t>, 521 F.2d 842, 845 (7th Cir., 1976).</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i/>
          <w:iCs/>
          <w:sz w:val="24"/>
          <w:szCs w:val="24"/>
        </w:rPr>
        <w:t>“</w:t>
      </w:r>
      <w:r w:rsidRPr="007C4A68">
        <w:rPr>
          <w:rFonts w:ascii="Times New Roman" w:eastAsia="Times New Roman" w:hAnsi="Times New Roman" w:cs="Times New Roman"/>
          <w:i/>
          <w:iCs/>
          <w:sz w:val="24"/>
          <w:szCs w:val="24"/>
          <w:u w:val="single"/>
        </w:rPr>
        <w:t>A judgment is void if the court that rendered it . . . acted in a manner inconsistent with due process</w:t>
      </w:r>
      <w:r w:rsidRPr="007C4A68">
        <w:rPr>
          <w:rFonts w:ascii="Times New Roman" w:eastAsia="Times New Roman" w:hAnsi="Times New Roman" w:cs="Times New Roman"/>
          <w:i/>
          <w:iCs/>
          <w:sz w:val="24"/>
          <w:szCs w:val="24"/>
        </w:rPr>
        <w:t xml:space="preserve">. Margoles v. Johns, </w:t>
      </w:r>
      <w:hyperlink r:id="rId57" w:history="1">
        <w:r w:rsidRPr="007C4A68">
          <w:rPr>
            <w:rFonts w:ascii="Times New Roman" w:eastAsia="Times New Roman" w:hAnsi="Times New Roman" w:cs="Times New Roman"/>
            <w:i/>
            <w:iCs/>
            <w:color w:val="0000FF"/>
            <w:sz w:val="24"/>
            <w:szCs w:val="24"/>
            <w:u w:val="single"/>
          </w:rPr>
          <w:t>660 F.2d 291</w:t>
        </w:r>
      </w:hyperlink>
      <w:r w:rsidRPr="007C4A68">
        <w:rPr>
          <w:rFonts w:ascii="Times New Roman" w:eastAsia="Times New Roman" w:hAnsi="Times New Roman" w:cs="Times New Roman"/>
          <w:i/>
          <w:iCs/>
          <w:sz w:val="24"/>
          <w:szCs w:val="24"/>
        </w:rPr>
        <w:t xml:space="preserve"> (7th Cir. 1981) cert. denied, 455 U.S. 909, 102 </w:t>
      </w:r>
      <w:proofErr w:type="spellStart"/>
      <w:r w:rsidRPr="007C4A68">
        <w:rPr>
          <w:rFonts w:ascii="Times New Roman" w:eastAsia="Times New Roman" w:hAnsi="Times New Roman" w:cs="Times New Roman"/>
          <w:i/>
          <w:iCs/>
          <w:sz w:val="24"/>
          <w:szCs w:val="24"/>
        </w:rPr>
        <w:t>S.Ct</w:t>
      </w:r>
      <w:proofErr w:type="spellEnd"/>
      <w:r w:rsidRPr="007C4A68">
        <w:rPr>
          <w:rFonts w:ascii="Times New Roman" w:eastAsia="Times New Roman" w:hAnsi="Times New Roman" w:cs="Times New Roman"/>
          <w:i/>
          <w:iCs/>
          <w:sz w:val="24"/>
          <w:szCs w:val="24"/>
        </w:rPr>
        <w:t xml:space="preserve">. 1256, 71 L.Ed.2d 447 (1982); In re Four Seasons Securities Laws Litigation, </w:t>
      </w:r>
      <w:hyperlink r:id="rId58" w:history="1">
        <w:r w:rsidRPr="007C4A68">
          <w:rPr>
            <w:rFonts w:ascii="Times New Roman" w:eastAsia="Times New Roman" w:hAnsi="Times New Roman" w:cs="Times New Roman"/>
            <w:i/>
            <w:iCs/>
            <w:color w:val="0000FF"/>
            <w:sz w:val="24"/>
            <w:szCs w:val="24"/>
            <w:u w:val="single"/>
          </w:rPr>
          <w:t>502 F.2d 834</w:t>
        </w:r>
      </w:hyperlink>
      <w:r w:rsidRPr="007C4A68">
        <w:rPr>
          <w:rFonts w:ascii="Times New Roman" w:eastAsia="Times New Roman" w:hAnsi="Times New Roman" w:cs="Times New Roman"/>
          <w:i/>
          <w:iCs/>
          <w:sz w:val="24"/>
          <w:szCs w:val="24"/>
        </w:rPr>
        <w:t xml:space="preserve"> (10th Cir.1974), cert. denied, 419 U.S. 1034, 95 </w:t>
      </w:r>
      <w:proofErr w:type="spellStart"/>
      <w:r w:rsidRPr="007C4A68">
        <w:rPr>
          <w:rFonts w:ascii="Times New Roman" w:eastAsia="Times New Roman" w:hAnsi="Times New Roman" w:cs="Times New Roman"/>
          <w:i/>
          <w:iCs/>
          <w:sz w:val="24"/>
          <w:szCs w:val="24"/>
        </w:rPr>
        <w:t>S.Ct</w:t>
      </w:r>
      <w:proofErr w:type="spellEnd"/>
      <w:r w:rsidRPr="007C4A68">
        <w:rPr>
          <w:rFonts w:ascii="Times New Roman" w:eastAsia="Times New Roman" w:hAnsi="Times New Roman" w:cs="Times New Roman"/>
          <w:i/>
          <w:iCs/>
          <w:sz w:val="24"/>
          <w:szCs w:val="24"/>
        </w:rPr>
        <w:t xml:space="preserve">. 516, 42 L.Ed.2d 309 (1975). </w:t>
      </w:r>
      <w:r w:rsidRPr="007C4A68">
        <w:rPr>
          <w:rFonts w:ascii="Times New Roman" w:eastAsia="Times New Roman" w:hAnsi="Times New Roman" w:cs="Times New Roman"/>
          <w:i/>
          <w:iCs/>
          <w:sz w:val="24"/>
          <w:szCs w:val="24"/>
          <w:u w:val="single"/>
        </w:rPr>
        <w:t>Mere error does not render the judgment void unless the error is of constitutional dimension</w:t>
      </w:r>
      <w:r w:rsidRPr="007C4A68">
        <w:rPr>
          <w:rFonts w:ascii="Times New Roman" w:eastAsia="Times New Roman" w:hAnsi="Times New Roman" w:cs="Times New Roman"/>
          <w:i/>
          <w:iCs/>
          <w:sz w:val="24"/>
          <w:szCs w:val="24"/>
        </w:rPr>
        <w:t xml:space="preserve">. </w:t>
      </w:r>
      <w:proofErr w:type="spellStart"/>
      <w:r w:rsidRPr="007C4A68">
        <w:rPr>
          <w:rFonts w:ascii="Times New Roman" w:eastAsia="Times New Roman" w:hAnsi="Times New Roman" w:cs="Times New Roman"/>
          <w:i/>
          <w:iCs/>
          <w:sz w:val="24"/>
          <w:szCs w:val="24"/>
        </w:rPr>
        <w:t>Simer</w:t>
      </w:r>
      <w:proofErr w:type="spellEnd"/>
      <w:r w:rsidRPr="007C4A68">
        <w:rPr>
          <w:rFonts w:ascii="Times New Roman" w:eastAsia="Times New Roman" w:hAnsi="Times New Roman" w:cs="Times New Roman"/>
          <w:i/>
          <w:iCs/>
          <w:sz w:val="24"/>
          <w:szCs w:val="24"/>
        </w:rPr>
        <w:t xml:space="preserve"> v. Rios, </w:t>
      </w:r>
      <w:hyperlink r:id="rId59" w:history="1">
        <w:r w:rsidRPr="007C4A68">
          <w:rPr>
            <w:rFonts w:ascii="Times New Roman" w:eastAsia="Times New Roman" w:hAnsi="Times New Roman" w:cs="Times New Roman"/>
            <w:i/>
            <w:iCs/>
            <w:color w:val="0000FF"/>
            <w:sz w:val="24"/>
            <w:szCs w:val="24"/>
            <w:u w:val="single"/>
          </w:rPr>
          <w:t>661 F.2d 655</w:t>
        </w:r>
      </w:hyperlink>
      <w:r w:rsidRPr="007C4A68">
        <w:rPr>
          <w:rFonts w:ascii="Times New Roman" w:eastAsia="Times New Roman" w:hAnsi="Times New Roman" w:cs="Times New Roman"/>
          <w:i/>
          <w:iCs/>
          <w:sz w:val="24"/>
          <w:szCs w:val="24"/>
        </w:rPr>
        <w:t xml:space="preserve"> (7th Cir.1981), cert. denied, sub nom </w:t>
      </w:r>
      <w:proofErr w:type="spellStart"/>
      <w:r w:rsidRPr="007C4A68">
        <w:rPr>
          <w:rFonts w:ascii="Times New Roman" w:eastAsia="Times New Roman" w:hAnsi="Times New Roman" w:cs="Times New Roman"/>
          <w:i/>
          <w:iCs/>
          <w:sz w:val="24"/>
          <w:szCs w:val="24"/>
        </w:rPr>
        <w:t>Simer</w:t>
      </w:r>
      <w:proofErr w:type="spellEnd"/>
      <w:r w:rsidRPr="007C4A68">
        <w:rPr>
          <w:rFonts w:ascii="Times New Roman" w:eastAsia="Times New Roman" w:hAnsi="Times New Roman" w:cs="Times New Roman"/>
          <w:i/>
          <w:iCs/>
          <w:sz w:val="24"/>
          <w:szCs w:val="24"/>
        </w:rPr>
        <w:t xml:space="preserve"> v. United States, 456 U.S. 917, 102 </w:t>
      </w:r>
      <w:proofErr w:type="spellStart"/>
      <w:r w:rsidRPr="007C4A68">
        <w:rPr>
          <w:rFonts w:ascii="Times New Roman" w:eastAsia="Times New Roman" w:hAnsi="Times New Roman" w:cs="Times New Roman"/>
          <w:i/>
          <w:iCs/>
          <w:sz w:val="24"/>
          <w:szCs w:val="24"/>
        </w:rPr>
        <w:t>S.Ct</w:t>
      </w:r>
      <w:proofErr w:type="spellEnd"/>
      <w:r w:rsidRPr="007C4A68">
        <w:rPr>
          <w:rFonts w:ascii="Times New Roman" w:eastAsia="Times New Roman" w:hAnsi="Times New Roman" w:cs="Times New Roman"/>
          <w:i/>
          <w:iCs/>
          <w:sz w:val="24"/>
          <w:szCs w:val="24"/>
        </w:rPr>
        <w:t xml:space="preserve">. 1773, 72 L.Ed.2d 177 (1982).” [Underline emphasis added.] </w:t>
      </w:r>
      <w:proofErr w:type="spellStart"/>
      <w:r w:rsidRPr="007C4A68">
        <w:rPr>
          <w:rFonts w:ascii="Times New Roman" w:eastAsia="Times New Roman" w:hAnsi="Times New Roman" w:cs="Times New Roman"/>
          <w:i/>
          <w:iCs/>
          <w:sz w:val="24"/>
          <w:szCs w:val="24"/>
        </w:rPr>
        <w:t>Klugh</w:t>
      </w:r>
      <w:proofErr w:type="spellEnd"/>
      <w:r w:rsidRPr="007C4A68">
        <w:rPr>
          <w:rFonts w:ascii="Times New Roman" w:eastAsia="Times New Roman" w:hAnsi="Times New Roman" w:cs="Times New Roman"/>
          <w:i/>
          <w:iCs/>
          <w:sz w:val="24"/>
          <w:szCs w:val="24"/>
        </w:rPr>
        <w:t xml:space="preserve"> v. United States, 620 </w:t>
      </w:r>
      <w:proofErr w:type="spellStart"/>
      <w:r w:rsidRPr="007C4A68">
        <w:rPr>
          <w:rFonts w:ascii="Times New Roman" w:eastAsia="Times New Roman" w:hAnsi="Times New Roman" w:cs="Times New Roman"/>
          <w:i/>
          <w:iCs/>
          <w:sz w:val="24"/>
          <w:szCs w:val="24"/>
        </w:rPr>
        <w:t>F.Supp</w:t>
      </w:r>
      <w:proofErr w:type="spellEnd"/>
      <w:r w:rsidRPr="007C4A68">
        <w:rPr>
          <w:rFonts w:ascii="Times New Roman" w:eastAsia="Times New Roman" w:hAnsi="Times New Roman" w:cs="Times New Roman"/>
          <w:i/>
          <w:iCs/>
          <w:sz w:val="24"/>
          <w:szCs w:val="24"/>
        </w:rPr>
        <w:t>. 892 (1985).</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i/>
          <w:iCs/>
          <w:sz w:val="24"/>
          <w:szCs w:val="24"/>
        </w:rPr>
        <w:t>“[</w:t>
      </w:r>
      <w:r w:rsidRPr="007C4A68">
        <w:rPr>
          <w:rFonts w:ascii="Times New Roman" w:eastAsia="Times New Roman" w:hAnsi="Times New Roman" w:cs="Times New Roman"/>
          <w:i/>
          <w:iCs/>
          <w:sz w:val="24"/>
          <w:szCs w:val="24"/>
          <w:u w:val="single"/>
        </w:rPr>
        <w:t xml:space="preserve">I]f a ‘judgment is void, it is a per se abuse of discretion for a district court to deny a </w:t>
      </w:r>
      <w:proofErr w:type="spellStart"/>
      <w:r w:rsidRPr="007C4A68">
        <w:rPr>
          <w:rFonts w:ascii="Times New Roman" w:eastAsia="Times New Roman" w:hAnsi="Times New Roman" w:cs="Times New Roman"/>
          <w:i/>
          <w:iCs/>
          <w:sz w:val="24"/>
          <w:szCs w:val="24"/>
          <w:u w:val="single"/>
        </w:rPr>
        <w:t>movant’s</w:t>
      </w:r>
      <w:proofErr w:type="spellEnd"/>
      <w:r w:rsidRPr="007C4A68">
        <w:rPr>
          <w:rFonts w:ascii="Times New Roman" w:eastAsia="Times New Roman" w:hAnsi="Times New Roman" w:cs="Times New Roman"/>
          <w:i/>
          <w:iCs/>
          <w:sz w:val="24"/>
          <w:szCs w:val="24"/>
          <w:u w:val="single"/>
        </w:rPr>
        <w:t xml:space="preserve"> motion to vacate the judgment</w:t>
      </w:r>
      <w:r w:rsidRPr="007C4A68">
        <w:rPr>
          <w:rFonts w:ascii="Times New Roman" w:eastAsia="Times New Roman" w:hAnsi="Times New Roman" w:cs="Times New Roman"/>
          <w:i/>
          <w:iCs/>
          <w:sz w:val="24"/>
          <w:szCs w:val="24"/>
        </w:rPr>
        <w:t xml:space="preserve">.’ United States v. Indoor Cultivation Equip. from High Tech Indoor Garden Supply, </w:t>
      </w:r>
      <w:hyperlink r:id="rId60" w:history="1">
        <w:r w:rsidRPr="007C4A68">
          <w:rPr>
            <w:rFonts w:ascii="Times New Roman" w:eastAsia="Times New Roman" w:hAnsi="Times New Roman" w:cs="Times New Roman"/>
            <w:i/>
            <w:iCs/>
            <w:color w:val="0000FF"/>
            <w:sz w:val="24"/>
            <w:szCs w:val="24"/>
            <w:u w:val="single"/>
          </w:rPr>
          <w:t>55 F.3d 1311</w:t>
        </w:r>
      </w:hyperlink>
      <w:r w:rsidRPr="007C4A68">
        <w:rPr>
          <w:rFonts w:ascii="Times New Roman" w:eastAsia="Times New Roman" w:hAnsi="Times New Roman" w:cs="Times New Roman"/>
          <w:i/>
          <w:iCs/>
          <w:sz w:val="24"/>
          <w:szCs w:val="24"/>
        </w:rPr>
        <w:t xml:space="preserve">, 1317 (7th Cir.1995). </w:t>
      </w:r>
      <w:r w:rsidRPr="007C4A68">
        <w:rPr>
          <w:rFonts w:ascii="Times New Roman" w:eastAsia="Times New Roman" w:hAnsi="Times New Roman" w:cs="Times New Roman"/>
          <w:i/>
          <w:iCs/>
          <w:sz w:val="24"/>
          <w:szCs w:val="24"/>
          <w:u w:val="single"/>
        </w:rPr>
        <w:t>A judgment is void and should be vacated pursuant to Rule 60(b)(4) if ‘the court that rendered the judgment acted in a manner inconsistent with due process of law</w:t>
      </w:r>
      <w:r w:rsidRPr="007C4A68">
        <w:rPr>
          <w:rFonts w:ascii="Times New Roman" w:eastAsia="Times New Roman" w:hAnsi="Times New Roman" w:cs="Times New Roman"/>
          <w:i/>
          <w:iCs/>
          <w:sz w:val="24"/>
          <w:szCs w:val="24"/>
        </w:rPr>
        <w:t>.’ Id. at 1316 (citations omitted) . . .” [Underline emphasis added.] Price v. Wyeth Holdings Corp., 505 F.3d 624 (7th Cir., 2007).</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i/>
          <w:iCs/>
          <w:sz w:val="24"/>
          <w:szCs w:val="24"/>
        </w:rPr>
        <w:t>“[D]</w:t>
      </w:r>
      <w:proofErr w:type="spellStart"/>
      <w:r w:rsidRPr="007C4A68">
        <w:rPr>
          <w:rFonts w:ascii="Times New Roman" w:eastAsia="Times New Roman" w:hAnsi="Times New Roman" w:cs="Times New Roman"/>
          <w:i/>
          <w:iCs/>
          <w:sz w:val="24"/>
          <w:szCs w:val="24"/>
        </w:rPr>
        <w:t>enying</w:t>
      </w:r>
      <w:proofErr w:type="spellEnd"/>
      <w:r w:rsidRPr="007C4A68">
        <w:rPr>
          <w:rFonts w:ascii="Times New Roman" w:eastAsia="Times New Roman" w:hAnsi="Times New Roman" w:cs="Times New Roman"/>
          <w:i/>
          <w:iCs/>
          <w:sz w:val="24"/>
          <w:szCs w:val="24"/>
        </w:rPr>
        <w:t xml:space="preserve"> a motion to vacate a void judgment is a per se abuse of discretion.” Burrell v. Henderson, et al, 434 F.3d, 826, 831 (6th Cir., 2006).</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Whereas, the record of the district court of first instance is rife with violations of due process of law, Petitioner documents the same in Petitioner’s September 9, 2015, Motion to Vacate Judgment and Order (below) and moves the district court to vacate said court’s </w:t>
      </w:r>
      <w:hyperlink r:id="rId61" w:tgtFrame="_blank" w:history="1">
        <w:r w:rsidRPr="007C4A68">
          <w:rPr>
            <w:rFonts w:ascii="Times New Roman" w:eastAsia="Times New Roman" w:hAnsi="Times New Roman" w:cs="Times New Roman"/>
            <w:color w:val="0000FF"/>
            <w:sz w:val="24"/>
            <w:szCs w:val="24"/>
            <w:u w:val="single"/>
          </w:rPr>
          <w:t xml:space="preserve">May 23, 2014, Amended Final Judgment and Order of Sale and </w:t>
        </w:r>
        <w:proofErr w:type="spellStart"/>
        <w:r w:rsidRPr="007C4A68">
          <w:rPr>
            <w:rFonts w:ascii="Times New Roman" w:eastAsia="Times New Roman" w:hAnsi="Times New Roman" w:cs="Times New Roman"/>
            <w:color w:val="0000FF"/>
            <w:sz w:val="24"/>
            <w:szCs w:val="24"/>
            <w:u w:val="single"/>
          </w:rPr>
          <w:t>Vacature</w:t>
        </w:r>
        <w:proofErr w:type="spellEnd"/>
        <w:r w:rsidRPr="007C4A68">
          <w:rPr>
            <w:rFonts w:ascii="Times New Roman" w:eastAsia="Times New Roman" w:hAnsi="Times New Roman" w:cs="Times New Roman"/>
            <w:color w:val="0000FF"/>
            <w:sz w:val="24"/>
            <w:szCs w:val="24"/>
            <w:u w:val="single"/>
          </w:rPr>
          <w:t>.</w:t>
        </w:r>
      </w:hyperlink>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Had Petitioner known at the beginning of this case what Petitioner knows now, it is unlikely that Petitioner would have needed to take the measures chronicled in this website.</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Petitioner’s motion to vacate (1) condenses into 19 pages the fruits of the last 18 months of litigation, in both this and a sister case (USDC, E. Dist. Tex., Lufkin Div. No. 9:14-cv-00138, which, following Petitioner’s filings, stagnated and has gone nowhere since beginning 14 months ago), (2) reveals how Federal judges evade and defeat the jurisdictional limitations of the Constitution in every civil and criminal action brought throughout the Union, and (3) provides sufficient grounds for the judge in the district court of first instance to vacate the aforesaid May 23, 2014, judgment and order (basis of the Supreme Court appeal presented in this website), as mandated by law.</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The contents of the below motion to vacate have direct and intimate bearing on the life of every American who resides without the exterior limits of the District of Columbia.</w:t>
      </w:r>
    </w:p>
    <w:p w:rsidR="007C4A68" w:rsidRPr="007C4A68" w:rsidRDefault="006A45A0" w:rsidP="007C4A68">
      <w:pPr>
        <w:spacing w:before="100" w:beforeAutospacing="1" w:after="100" w:afterAutospacing="1" w:line="240" w:lineRule="auto"/>
        <w:rPr>
          <w:rFonts w:ascii="Times New Roman" w:eastAsia="Times New Roman" w:hAnsi="Times New Roman" w:cs="Times New Roman"/>
          <w:sz w:val="24"/>
          <w:szCs w:val="24"/>
        </w:rPr>
      </w:pPr>
      <w:hyperlink r:id="rId62" w:tgtFrame="_blank" w:history="1">
        <w:r w:rsidR="007C4A68" w:rsidRPr="007C4A68">
          <w:rPr>
            <w:rFonts w:ascii="Times New Roman" w:eastAsia="Times New Roman" w:hAnsi="Times New Roman" w:cs="Times New Roman"/>
            <w:color w:val="0000FF"/>
            <w:sz w:val="24"/>
            <w:szCs w:val="24"/>
            <w:u w:val="single"/>
          </w:rPr>
          <w:t>Motion to Vacate Judgment and Order, September 9, 2015</w:t>
        </w:r>
      </w:hyperlink>
    </w:p>
    <w:p w:rsidR="007C4A68" w:rsidRPr="007C4A68" w:rsidRDefault="006A45A0" w:rsidP="007C4A68">
      <w:pPr>
        <w:spacing w:before="100" w:beforeAutospacing="1" w:after="100" w:afterAutospacing="1" w:line="240" w:lineRule="auto"/>
        <w:rPr>
          <w:rFonts w:ascii="Times New Roman" w:eastAsia="Times New Roman" w:hAnsi="Times New Roman" w:cs="Times New Roman"/>
          <w:sz w:val="17"/>
          <w:szCs w:val="17"/>
        </w:rPr>
      </w:pPr>
      <w:hyperlink r:id="rId63" w:anchor="_ftnref1" w:history="1">
        <w:r w:rsidR="007C4A68" w:rsidRPr="007C4A68">
          <w:rPr>
            <w:rFonts w:ascii="Times New Roman" w:eastAsia="Times New Roman" w:hAnsi="Times New Roman" w:cs="Times New Roman"/>
            <w:color w:val="0000FF"/>
            <w:sz w:val="17"/>
            <w:u w:val="single"/>
          </w:rPr>
          <w:t>[1]</w:t>
        </w:r>
      </w:hyperlink>
      <w:r w:rsidR="007C4A68" w:rsidRPr="007C4A68">
        <w:rPr>
          <w:rFonts w:ascii="Times New Roman" w:eastAsia="Times New Roman" w:hAnsi="Times New Roman" w:cs="Times New Roman"/>
          <w:sz w:val="17"/>
          <w:szCs w:val="17"/>
        </w:rPr>
        <w:t xml:space="preserve"> “[T]he Supreme Court has admonished us [</w:t>
      </w:r>
      <w:r w:rsidR="007C4A68" w:rsidRPr="007C4A68">
        <w:rPr>
          <w:rFonts w:ascii="Times New Roman" w:eastAsia="Times New Roman" w:hAnsi="Times New Roman" w:cs="Times New Roman"/>
          <w:sz w:val="17"/>
          <w:szCs w:val="17"/>
          <w:u w:val="single"/>
        </w:rPr>
        <w:t>10th Circuit Court of Appeals</w:t>
      </w:r>
      <w:r w:rsidR="007C4A68" w:rsidRPr="007C4A68">
        <w:rPr>
          <w:rFonts w:ascii="Times New Roman" w:eastAsia="Times New Roman" w:hAnsi="Times New Roman" w:cs="Times New Roman"/>
          <w:sz w:val="17"/>
          <w:szCs w:val="17"/>
        </w:rPr>
        <w:t xml:space="preserve">] that </w:t>
      </w:r>
      <w:r w:rsidR="007C4A68" w:rsidRPr="007C4A68">
        <w:rPr>
          <w:rFonts w:ascii="Times New Roman" w:eastAsia="Times New Roman" w:hAnsi="Times New Roman" w:cs="Times New Roman"/>
          <w:i/>
          <w:iCs/>
          <w:sz w:val="17"/>
        </w:rPr>
        <w:t>‘[t]he denial of a writ of certiorari imports no expression of opinion upon the merits of the case . . .’</w:t>
      </w:r>
      <w:r w:rsidR="007C4A68" w:rsidRPr="007C4A68">
        <w:rPr>
          <w:rFonts w:ascii="Times New Roman" w:eastAsia="Times New Roman" w:hAnsi="Times New Roman" w:cs="Times New Roman"/>
          <w:sz w:val="17"/>
          <w:szCs w:val="17"/>
        </w:rPr>
        <w:t xml:space="preserve"> </w:t>
      </w:r>
      <w:r w:rsidR="007C4A68" w:rsidRPr="007C4A68">
        <w:rPr>
          <w:rFonts w:ascii="Times New Roman" w:eastAsia="Times New Roman" w:hAnsi="Times New Roman" w:cs="Times New Roman"/>
          <w:i/>
          <w:iCs/>
          <w:sz w:val="17"/>
        </w:rPr>
        <w:t>United States v. Carver,</w:t>
      </w:r>
      <w:r w:rsidR="007C4A68" w:rsidRPr="007C4A68">
        <w:rPr>
          <w:rFonts w:ascii="Times New Roman" w:eastAsia="Times New Roman" w:hAnsi="Times New Roman" w:cs="Times New Roman"/>
          <w:sz w:val="17"/>
          <w:szCs w:val="17"/>
        </w:rPr>
        <w:t xml:space="preserve"> 260 U.S. 482, 490, 43 </w:t>
      </w:r>
      <w:proofErr w:type="spellStart"/>
      <w:r w:rsidR="007C4A68" w:rsidRPr="007C4A68">
        <w:rPr>
          <w:rFonts w:ascii="Times New Roman" w:eastAsia="Times New Roman" w:hAnsi="Times New Roman" w:cs="Times New Roman"/>
          <w:sz w:val="17"/>
          <w:szCs w:val="17"/>
        </w:rPr>
        <w:t>S.Ct</w:t>
      </w:r>
      <w:proofErr w:type="spellEnd"/>
      <w:r w:rsidR="007C4A68" w:rsidRPr="007C4A68">
        <w:rPr>
          <w:rFonts w:ascii="Times New Roman" w:eastAsia="Times New Roman" w:hAnsi="Times New Roman" w:cs="Times New Roman"/>
          <w:sz w:val="17"/>
          <w:szCs w:val="17"/>
        </w:rPr>
        <w:t xml:space="preserve">. 181, 182, 67 </w:t>
      </w:r>
      <w:proofErr w:type="spellStart"/>
      <w:r w:rsidR="007C4A68" w:rsidRPr="007C4A68">
        <w:rPr>
          <w:rFonts w:ascii="Times New Roman" w:eastAsia="Times New Roman" w:hAnsi="Times New Roman" w:cs="Times New Roman"/>
          <w:sz w:val="17"/>
          <w:szCs w:val="17"/>
        </w:rPr>
        <w:t>L.Ed</w:t>
      </w:r>
      <w:proofErr w:type="spellEnd"/>
      <w:r w:rsidR="007C4A68" w:rsidRPr="007C4A68">
        <w:rPr>
          <w:rFonts w:ascii="Times New Roman" w:eastAsia="Times New Roman" w:hAnsi="Times New Roman" w:cs="Times New Roman"/>
          <w:sz w:val="17"/>
          <w:szCs w:val="17"/>
        </w:rPr>
        <w:t xml:space="preserve">. 361 (1923) (emphasis added) . . .” </w:t>
      </w:r>
      <w:r w:rsidR="007C4A68" w:rsidRPr="007C4A68">
        <w:rPr>
          <w:rFonts w:ascii="Times New Roman" w:eastAsia="Times New Roman" w:hAnsi="Times New Roman" w:cs="Times New Roman"/>
          <w:i/>
          <w:iCs/>
          <w:sz w:val="17"/>
        </w:rPr>
        <w:t>Chaney v. Brown</w:t>
      </w:r>
      <w:r w:rsidR="007C4A68" w:rsidRPr="007C4A68">
        <w:rPr>
          <w:rFonts w:ascii="Times New Roman" w:eastAsia="Times New Roman" w:hAnsi="Times New Roman" w:cs="Times New Roman"/>
          <w:sz w:val="17"/>
          <w:szCs w:val="17"/>
        </w:rPr>
        <w:t>, 712 F.2d 441 (10th Cir., 1983).</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17"/>
          <w:szCs w:val="17"/>
        </w:rPr>
      </w:pPr>
      <w:r w:rsidRPr="007C4A68">
        <w:rPr>
          <w:rFonts w:ascii="Times New Roman" w:eastAsia="Times New Roman" w:hAnsi="Times New Roman" w:cs="Times New Roman"/>
          <w:sz w:val="17"/>
          <w:szCs w:val="17"/>
        </w:rPr>
        <w:t xml:space="preserve">[2] “The Federal Reserve is not an agency of government. It is a private banking monopoly. . . .” Rep. John R. </w:t>
      </w:r>
      <w:proofErr w:type="spellStart"/>
      <w:r w:rsidRPr="007C4A68">
        <w:rPr>
          <w:rFonts w:ascii="Times New Roman" w:eastAsia="Times New Roman" w:hAnsi="Times New Roman" w:cs="Times New Roman"/>
          <w:sz w:val="17"/>
          <w:szCs w:val="17"/>
        </w:rPr>
        <w:t>Rarick</w:t>
      </w:r>
      <w:proofErr w:type="spellEnd"/>
      <w:r w:rsidRPr="007C4A68">
        <w:rPr>
          <w:rFonts w:ascii="Times New Roman" w:eastAsia="Times New Roman" w:hAnsi="Times New Roman" w:cs="Times New Roman"/>
          <w:sz w:val="17"/>
          <w:szCs w:val="17"/>
        </w:rPr>
        <w:t xml:space="preserve">, “Deficit Financing,” </w:t>
      </w:r>
      <w:r w:rsidRPr="007C4A68">
        <w:rPr>
          <w:rFonts w:ascii="Times New Roman" w:eastAsia="Times New Roman" w:hAnsi="Times New Roman" w:cs="Times New Roman"/>
          <w:i/>
          <w:iCs/>
          <w:sz w:val="17"/>
        </w:rPr>
        <w:t xml:space="preserve">Congressional Record </w:t>
      </w:r>
      <w:r w:rsidRPr="007C4A68">
        <w:rPr>
          <w:rFonts w:ascii="Times New Roman" w:eastAsia="Times New Roman" w:hAnsi="Times New Roman" w:cs="Times New Roman"/>
          <w:sz w:val="17"/>
          <w:szCs w:val="17"/>
        </w:rPr>
        <w:t>(House of Representatives), 92</w:t>
      </w:r>
      <w:r w:rsidRPr="007C4A68">
        <w:rPr>
          <w:rFonts w:ascii="Times New Roman" w:eastAsia="Times New Roman" w:hAnsi="Times New Roman" w:cs="Times New Roman"/>
          <w:sz w:val="17"/>
          <w:szCs w:val="17"/>
          <w:vertAlign w:val="superscript"/>
        </w:rPr>
        <w:t>nd</w:t>
      </w:r>
      <w:r w:rsidRPr="007C4A68">
        <w:rPr>
          <w:rFonts w:ascii="Times New Roman" w:eastAsia="Times New Roman" w:hAnsi="Times New Roman" w:cs="Times New Roman"/>
          <w:sz w:val="17"/>
          <w:szCs w:val="17"/>
        </w:rPr>
        <w:t xml:space="preserve"> Congress, First Session, Vol. 117—Part 1, February 1, 1971, p. 1260.</w:t>
      </w:r>
    </w:p>
    <w:p w:rsidR="007C4A68" w:rsidRPr="007C4A68" w:rsidRDefault="007C4A68" w:rsidP="007C4A68">
      <w:pPr>
        <w:spacing w:after="0"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Standard </w:t>
      </w:r>
    </w:p>
    <w:p w:rsidR="007C4A68" w:rsidRPr="007C4A68" w:rsidRDefault="006A45A0" w:rsidP="007C4A68">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64" w:history="1">
        <w:r w:rsidR="007C4A68" w:rsidRPr="007C4A68">
          <w:rPr>
            <w:rFonts w:ascii="Times New Roman" w:eastAsia="Times New Roman" w:hAnsi="Times New Roman" w:cs="Times New Roman"/>
            <w:b/>
            <w:bCs/>
            <w:color w:val="0000FF"/>
            <w:kern w:val="36"/>
            <w:sz w:val="48"/>
            <w:szCs w:val="48"/>
            <w:u w:val="single"/>
          </w:rPr>
          <w:t>Revocation of election to be treated as a resident of the District of Columbia</w:t>
        </w:r>
      </w:hyperlink>
    </w:p>
    <w:p w:rsidR="007C4A68" w:rsidRPr="007C4A68" w:rsidRDefault="006A45A0" w:rsidP="007C4A68">
      <w:pPr>
        <w:spacing w:after="0" w:line="240" w:lineRule="auto"/>
        <w:rPr>
          <w:rFonts w:ascii="Times New Roman" w:eastAsia="Times New Roman" w:hAnsi="Times New Roman" w:cs="Times New Roman"/>
          <w:sz w:val="24"/>
          <w:szCs w:val="24"/>
        </w:rPr>
      </w:pPr>
      <w:hyperlink r:id="rId65" w:tooltip="14:42" w:history="1">
        <w:r w:rsidR="007C4A68" w:rsidRPr="007C4A68">
          <w:rPr>
            <w:rFonts w:ascii="Times New Roman" w:eastAsia="Times New Roman" w:hAnsi="Times New Roman" w:cs="Times New Roman"/>
            <w:color w:val="0000FF"/>
            <w:sz w:val="24"/>
            <w:szCs w:val="24"/>
            <w:u w:val="single"/>
          </w:rPr>
          <w:t>August 20, 2015</w:t>
        </w:r>
      </w:hyperlink>
      <w:hyperlink r:id="rId66" w:tooltip="View all posts by supremecourtcase" w:history="1">
        <w:r w:rsidR="007C4A68" w:rsidRPr="007C4A68">
          <w:rPr>
            <w:rFonts w:ascii="Times New Roman" w:eastAsia="Times New Roman" w:hAnsi="Times New Roman" w:cs="Times New Roman"/>
            <w:color w:val="0000FF"/>
            <w:sz w:val="24"/>
            <w:szCs w:val="24"/>
            <w:u w:val="single"/>
          </w:rPr>
          <w:t>supremecourtcase</w:t>
        </w:r>
      </w:hyperlink>
      <w:r w:rsidR="007C4A68" w:rsidRPr="007C4A68">
        <w:rPr>
          <w:rFonts w:ascii="Times New Roman" w:eastAsia="Times New Roman" w:hAnsi="Times New Roman" w:cs="Times New Roman"/>
          <w:sz w:val="24"/>
          <w:szCs w:val="24"/>
        </w:rPr>
        <w:t xml:space="preserve"> </w:t>
      </w:r>
      <w:hyperlink r:id="rId67" w:anchor="respond" w:history="1">
        <w:r w:rsidR="007C4A68" w:rsidRPr="007C4A68">
          <w:rPr>
            <w:rFonts w:ascii="Times New Roman" w:eastAsia="Times New Roman" w:hAnsi="Times New Roman" w:cs="Times New Roman"/>
            <w:color w:val="0000FF"/>
            <w:sz w:val="24"/>
            <w:szCs w:val="24"/>
            <w:u w:val="single"/>
          </w:rPr>
          <w:t>Leave a comment</w:t>
        </w:r>
      </w:hyperlink>
      <w:r w:rsidR="007C4A68" w:rsidRPr="007C4A68">
        <w:rPr>
          <w:rFonts w:ascii="Times New Roman" w:eastAsia="Times New Roman" w:hAnsi="Times New Roman" w:cs="Times New Roman"/>
          <w:sz w:val="24"/>
          <w:szCs w:val="24"/>
        </w:rPr>
        <w:t xml:space="preserve"> </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i/>
          <w:iCs/>
          <w:sz w:val="24"/>
          <w:szCs w:val="24"/>
        </w:rPr>
        <w:t xml:space="preserve">“Qui jure </w:t>
      </w:r>
      <w:proofErr w:type="spellStart"/>
      <w:r w:rsidRPr="007C4A68">
        <w:rPr>
          <w:rFonts w:ascii="Times New Roman" w:eastAsia="Times New Roman" w:hAnsi="Times New Roman" w:cs="Times New Roman"/>
          <w:i/>
          <w:iCs/>
          <w:sz w:val="24"/>
          <w:szCs w:val="24"/>
        </w:rPr>
        <w:t>suo</w:t>
      </w:r>
      <w:proofErr w:type="spellEnd"/>
      <w:r w:rsidRPr="007C4A68">
        <w:rPr>
          <w:rFonts w:ascii="Times New Roman" w:eastAsia="Times New Roman" w:hAnsi="Times New Roman" w:cs="Times New Roman"/>
          <w:i/>
          <w:iCs/>
          <w:sz w:val="24"/>
          <w:szCs w:val="24"/>
        </w:rPr>
        <w:t xml:space="preserve"> </w:t>
      </w:r>
      <w:proofErr w:type="spellStart"/>
      <w:r w:rsidRPr="007C4A68">
        <w:rPr>
          <w:rFonts w:ascii="Times New Roman" w:eastAsia="Times New Roman" w:hAnsi="Times New Roman" w:cs="Times New Roman"/>
          <w:i/>
          <w:iCs/>
          <w:sz w:val="24"/>
          <w:szCs w:val="24"/>
        </w:rPr>
        <w:t>utitur</w:t>
      </w:r>
      <w:proofErr w:type="spellEnd"/>
      <w:r w:rsidRPr="007C4A68">
        <w:rPr>
          <w:rFonts w:ascii="Times New Roman" w:eastAsia="Times New Roman" w:hAnsi="Times New Roman" w:cs="Times New Roman"/>
          <w:i/>
          <w:iCs/>
          <w:sz w:val="24"/>
          <w:szCs w:val="24"/>
        </w:rPr>
        <w:t xml:space="preserve">, </w:t>
      </w:r>
      <w:proofErr w:type="spellStart"/>
      <w:r w:rsidRPr="007C4A68">
        <w:rPr>
          <w:rFonts w:ascii="Times New Roman" w:eastAsia="Times New Roman" w:hAnsi="Times New Roman" w:cs="Times New Roman"/>
          <w:i/>
          <w:iCs/>
          <w:sz w:val="24"/>
          <w:szCs w:val="24"/>
        </w:rPr>
        <w:t>nemini</w:t>
      </w:r>
      <w:proofErr w:type="spellEnd"/>
      <w:r w:rsidRPr="007C4A68">
        <w:rPr>
          <w:rFonts w:ascii="Times New Roman" w:eastAsia="Times New Roman" w:hAnsi="Times New Roman" w:cs="Times New Roman"/>
          <w:i/>
          <w:iCs/>
          <w:sz w:val="24"/>
          <w:szCs w:val="24"/>
        </w:rPr>
        <w:t xml:space="preserve"> </w:t>
      </w:r>
      <w:proofErr w:type="spellStart"/>
      <w:r w:rsidRPr="007C4A68">
        <w:rPr>
          <w:rFonts w:ascii="Times New Roman" w:eastAsia="Times New Roman" w:hAnsi="Times New Roman" w:cs="Times New Roman"/>
          <w:i/>
          <w:iCs/>
          <w:sz w:val="24"/>
          <w:szCs w:val="24"/>
        </w:rPr>
        <w:t>facit</w:t>
      </w:r>
      <w:proofErr w:type="spellEnd"/>
      <w:r w:rsidRPr="007C4A68">
        <w:rPr>
          <w:rFonts w:ascii="Times New Roman" w:eastAsia="Times New Roman" w:hAnsi="Times New Roman" w:cs="Times New Roman"/>
          <w:i/>
          <w:iCs/>
          <w:sz w:val="24"/>
          <w:szCs w:val="24"/>
        </w:rPr>
        <w:t xml:space="preserve"> </w:t>
      </w:r>
      <w:proofErr w:type="spellStart"/>
      <w:r w:rsidRPr="007C4A68">
        <w:rPr>
          <w:rFonts w:ascii="Times New Roman" w:eastAsia="Times New Roman" w:hAnsi="Times New Roman" w:cs="Times New Roman"/>
          <w:i/>
          <w:iCs/>
          <w:sz w:val="24"/>
          <w:szCs w:val="24"/>
        </w:rPr>
        <w:t>injuriam</w:t>
      </w:r>
      <w:proofErr w:type="spellEnd"/>
      <w:r w:rsidRPr="007C4A68">
        <w:rPr>
          <w:rFonts w:ascii="Times New Roman" w:eastAsia="Times New Roman" w:hAnsi="Times New Roman" w:cs="Times New Roman"/>
          <w:i/>
          <w:iCs/>
          <w:sz w:val="24"/>
          <w:szCs w:val="24"/>
        </w:rPr>
        <w:t xml:space="preserve">. He who uses his legal rights harms no one.” John </w:t>
      </w:r>
      <w:proofErr w:type="spellStart"/>
      <w:r w:rsidRPr="007C4A68">
        <w:rPr>
          <w:rFonts w:ascii="Times New Roman" w:eastAsia="Times New Roman" w:hAnsi="Times New Roman" w:cs="Times New Roman"/>
          <w:i/>
          <w:iCs/>
          <w:sz w:val="24"/>
          <w:szCs w:val="24"/>
        </w:rPr>
        <w:t>Bouvier</w:t>
      </w:r>
      <w:proofErr w:type="spellEnd"/>
      <w:r w:rsidRPr="007C4A68">
        <w:rPr>
          <w:rFonts w:ascii="Times New Roman" w:eastAsia="Times New Roman" w:hAnsi="Times New Roman" w:cs="Times New Roman"/>
          <w:i/>
          <w:iCs/>
          <w:sz w:val="24"/>
          <w:szCs w:val="24"/>
        </w:rPr>
        <w:t xml:space="preserve">, </w:t>
      </w:r>
      <w:proofErr w:type="spellStart"/>
      <w:r w:rsidRPr="007C4A68">
        <w:rPr>
          <w:rFonts w:ascii="Times New Roman" w:eastAsia="Times New Roman" w:hAnsi="Times New Roman" w:cs="Times New Roman"/>
          <w:i/>
          <w:iCs/>
          <w:sz w:val="24"/>
          <w:szCs w:val="24"/>
        </w:rPr>
        <w:t>Bouvier’s</w:t>
      </w:r>
      <w:proofErr w:type="spellEnd"/>
      <w:r w:rsidRPr="007C4A68">
        <w:rPr>
          <w:rFonts w:ascii="Times New Roman" w:eastAsia="Times New Roman" w:hAnsi="Times New Roman" w:cs="Times New Roman"/>
          <w:i/>
          <w:iCs/>
          <w:sz w:val="24"/>
          <w:szCs w:val="24"/>
        </w:rPr>
        <w:t xml:space="preserve"> Law Dictionary, Third Revision (Being the Eighth Edition), revised by Francis </w:t>
      </w:r>
      <w:proofErr w:type="spellStart"/>
      <w:r w:rsidRPr="007C4A68">
        <w:rPr>
          <w:rFonts w:ascii="Times New Roman" w:eastAsia="Times New Roman" w:hAnsi="Times New Roman" w:cs="Times New Roman"/>
          <w:i/>
          <w:iCs/>
          <w:sz w:val="24"/>
          <w:szCs w:val="24"/>
        </w:rPr>
        <w:t>Rawle</w:t>
      </w:r>
      <w:proofErr w:type="spellEnd"/>
      <w:r w:rsidRPr="007C4A68">
        <w:rPr>
          <w:rFonts w:ascii="Times New Roman" w:eastAsia="Times New Roman" w:hAnsi="Times New Roman" w:cs="Times New Roman"/>
          <w:i/>
          <w:iCs/>
          <w:sz w:val="24"/>
          <w:szCs w:val="24"/>
        </w:rPr>
        <w:t xml:space="preserve"> (West Publishing Co.: St. Paul, Minn. 1914) (</w:t>
      </w:r>
      <w:r w:rsidRPr="007C4A68">
        <w:rPr>
          <w:rFonts w:ascii="Times New Roman" w:eastAsia="Times New Roman" w:hAnsi="Times New Roman" w:cs="Times New Roman"/>
          <w:i/>
          <w:iCs/>
          <w:sz w:val="24"/>
          <w:szCs w:val="24"/>
          <w:u w:val="single"/>
        </w:rPr>
        <w:t>hereinafter “</w:t>
      </w:r>
      <w:proofErr w:type="spellStart"/>
      <w:r w:rsidRPr="007C4A68">
        <w:rPr>
          <w:rFonts w:ascii="Times New Roman" w:eastAsia="Times New Roman" w:hAnsi="Times New Roman" w:cs="Times New Roman"/>
          <w:i/>
          <w:iCs/>
          <w:sz w:val="24"/>
          <w:szCs w:val="24"/>
          <w:u w:val="single"/>
        </w:rPr>
        <w:t>Bouvier’s</w:t>
      </w:r>
      <w:proofErr w:type="spellEnd"/>
      <w:r w:rsidRPr="007C4A68">
        <w:rPr>
          <w:rFonts w:ascii="Times New Roman" w:eastAsia="Times New Roman" w:hAnsi="Times New Roman" w:cs="Times New Roman"/>
          <w:i/>
          <w:iCs/>
          <w:sz w:val="24"/>
          <w:szCs w:val="24"/>
          <w:u w:val="single"/>
        </w:rPr>
        <w:t>”</w:t>
      </w:r>
      <w:r w:rsidRPr="007C4A68">
        <w:rPr>
          <w:rFonts w:ascii="Times New Roman" w:eastAsia="Times New Roman" w:hAnsi="Times New Roman" w:cs="Times New Roman"/>
          <w:i/>
          <w:iCs/>
          <w:sz w:val="24"/>
          <w:szCs w:val="24"/>
        </w:rPr>
        <w:t>), p. 2157</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The Internal Revenue Code provides for one to revoke his (apparent) general election to be treated as a resident of the United States—defined by Congress in Title 26 U.S.C. to mean the District of Columbia</w:t>
      </w:r>
      <w:hyperlink r:id="rId68" w:anchor="_ftn1" w:history="1">
        <w:r w:rsidRPr="007C4A68">
          <w:rPr>
            <w:rFonts w:ascii="Times New Roman" w:eastAsia="Times New Roman" w:hAnsi="Times New Roman" w:cs="Times New Roman"/>
            <w:color w:val="0000FF"/>
            <w:sz w:val="24"/>
            <w:szCs w:val="24"/>
            <w:u w:val="single"/>
          </w:rPr>
          <w:t>[1]</w:t>
        </w:r>
      </w:hyperlink>
      <w:r w:rsidRPr="007C4A68">
        <w:rPr>
          <w:rFonts w:ascii="Times New Roman" w:eastAsia="Times New Roman" w:hAnsi="Times New Roman" w:cs="Times New Roman"/>
          <w:sz w:val="24"/>
          <w:szCs w:val="24"/>
        </w:rPr>
        <w:t>—and can be accomplished in as little as one sentence.</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As any legal professional (other than one with a vested interest in the 26 U.S.C. 6013 general-election-facility hoax) can verify: No one can elect (choose) to be a resident of a particular geographic area for purposes of taxation without also (1) physically moving there and establishing his personal abode / dwelling / home, or (2) realizing earnings there.</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There is no difference between </w:t>
      </w:r>
      <w:r w:rsidRPr="007C4A68">
        <w:rPr>
          <w:rFonts w:ascii="Times New Roman" w:eastAsia="Times New Roman" w:hAnsi="Times New Roman" w:cs="Times New Roman"/>
          <w:i/>
          <w:iCs/>
          <w:sz w:val="24"/>
          <w:szCs w:val="24"/>
        </w:rPr>
        <w:t>“being a resident”</w:t>
      </w:r>
      <w:r w:rsidRPr="007C4A68">
        <w:rPr>
          <w:rFonts w:ascii="Times New Roman" w:eastAsia="Times New Roman" w:hAnsi="Times New Roman" w:cs="Times New Roman"/>
          <w:sz w:val="24"/>
          <w:szCs w:val="24"/>
        </w:rPr>
        <w:t xml:space="preserve"> and </w:t>
      </w:r>
      <w:r w:rsidRPr="007C4A68">
        <w:rPr>
          <w:rFonts w:ascii="Times New Roman" w:eastAsia="Times New Roman" w:hAnsi="Times New Roman" w:cs="Times New Roman"/>
          <w:i/>
          <w:iCs/>
          <w:sz w:val="24"/>
          <w:szCs w:val="24"/>
        </w:rPr>
        <w:t>“being treated as a resident”</w:t>
      </w:r>
      <w:r w:rsidRPr="007C4A68">
        <w:rPr>
          <w:rFonts w:ascii="Times New Roman" w:eastAsia="Times New Roman" w:hAnsi="Times New Roman" w:cs="Times New Roman"/>
          <w:sz w:val="24"/>
          <w:szCs w:val="24"/>
        </w:rPr>
        <w:t xml:space="preserve"> of a particular place; the legal effect is the same.</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That government pretends that all of the American People are residents of the District of Columbia—and treats them as such—gives one an idea of the magnitude of the situation.</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i/>
          <w:iCs/>
          <w:sz w:val="24"/>
          <w:szCs w:val="24"/>
        </w:rPr>
        <w:t>“</w:t>
      </w:r>
      <w:proofErr w:type="spellStart"/>
      <w:r w:rsidRPr="007C4A68">
        <w:rPr>
          <w:rFonts w:ascii="Times New Roman" w:eastAsia="Times New Roman" w:hAnsi="Times New Roman" w:cs="Times New Roman"/>
          <w:i/>
          <w:iCs/>
          <w:sz w:val="24"/>
          <w:szCs w:val="24"/>
        </w:rPr>
        <w:t>Quando</w:t>
      </w:r>
      <w:proofErr w:type="spellEnd"/>
      <w:r w:rsidRPr="007C4A68">
        <w:rPr>
          <w:rFonts w:ascii="Times New Roman" w:eastAsia="Times New Roman" w:hAnsi="Times New Roman" w:cs="Times New Roman"/>
          <w:i/>
          <w:iCs/>
          <w:sz w:val="24"/>
          <w:szCs w:val="24"/>
        </w:rPr>
        <w:t xml:space="preserve"> </w:t>
      </w:r>
      <w:proofErr w:type="spellStart"/>
      <w:r w:rsidRPr="007C4A68">
        <w:rPr>
          <w:rFonts w:ascii="Times New Roman" w:eastAsia="Times New Roman" w:hAnsi="Times New Roman" w:cs="Times New Roman"/>
          <w:i/>
          <w:iCs/>
          <w:sz w:val="24"/>
          <w:szCs w:val="24"/>
        </w:rPr>
        <w:t>lex</w:t>
      </w:r>
      <w:proofErr w:type="spellEnd"/>
      <w:r w:rsidRPr="007C4A68">
        <w:rPr>
          <w:rFonts w:ascii="Times New Roman" w:eastAsia="Times New Roman" w:hAnsi="Times New Roman" w:cs="Times New Roman"/>
          <w:i/>
          <w:iCs/>
          <w:sz w:val="24"/>
          <w:szCs w:val="24"/>
        </w:rPr>
        <w:t xml:space="preserve"> </w:t>
      </w:r>
      <w:proofErr w:type="spellStart"/>
      <w:r w:rsidRPr="007C4A68">
        <w:rPr>
          <w:rFonts w:ascii="Times New Roman" w:eastAsia="Times New Roman" w:hAnsi="Times New Roman" w:cs="Times New Roman"/>
          <w:i/>
          <w:iCs/>
          <w:sz w:val="24"/>
          <w:szCs w:val="24"/>
        </w:rPr>
        <w:t>est</w:t>
      </w:r>
      <w:proofErr w:type="spellEnd"/>
      <w:r w:rsidRPr="007C4A68">
        <w:rPr>
          <w:rFonts w:ascii="Times New Roman" w:eastAsia="Times New Roman" w:hAnsi="Times New Roman" w:cs="Times New Roman"/>
          <w:i/>
          <w:iCs/>
          <w:sz w:val="24"/>
          <w:szCs w:val="24"/>
        </w:rPr>
        <w:t xml:space="preserve"> </w:t>
      </w:r>
      <w:proofErr w:type="spellStart"/>
      <w:r w:rsidRPr="007C4A68">
        <w:rPr>
          <w:rFonts w:ascii="Times New Roman" w:eastAsia="Times New Roman" w:hAnsi="Times New Roman" w:cs="Times New Roman"/>
          <w:i/>
          <w:iCs/>
          <w:sz w:val="24"/>
          <w:szCs w:val="24"/>
        </w:rPr>
        <w:t>specialis</w:t>
      </w:r>
      <w:proofErr w:type="spellEnd"/>
      <w:r w:rsidRPr="007C4A68">
        <w:rPr>
          <w:rFonts w:ascii="Times New Roman" w:eastAsia="Times New Roman" w:hAnsi="Times New Roman" w:cs="Times New Roman"/>
          <w:i/>
          <w:iCs/>
          <w:sz w:val="24"/>
          <w:szCs w:val="24"/>
        </w:rPr>
        <w:t xml:space="preserve">, ratio </w:t>
      </w:r>
      <w:proofErr w:type="spellStart"/>
      <w:r w:rsidRPr="007C4A68">
        <w:rPr>
          <w:rFonts w:ascii="Times New Roman" w:eastAsia="Times New Roman" w:hAnsi="Times New Roman" w:cs="Times New Roman"/>
          <w:i/>
          <w:iCs/>
          <w:sz w:val="24"/>
          <w:szCs w:val="24"/>
        </w:rPr>
        <w:t>autem</w:t>
      </w:r>
      <w:proofErr w:type="spellEnd"/>
      <w:r w:rsidRPr="007C4A68">
        <w:rPr>
          <w:rFonts w:ascii="Times New Roman" w:eastAsia="Times New Roman" w:hAnsi="Times New Roman" w:cs="Times New Roman"/>
          <w:i/>
          <w:iCs/>
          <w:sz w:val="24"/>
          <w:szCs w:val="24"/>
        </w:rPr>
        <w:t xml:space="preserve"> </w:t>
      </w:r>
      <w:proofErr w:type="spellStart"/>
      <w:r w:rsidRPr="007C4A68">
        <w:rPr>
          <w:rFonts w:ascii="Times New Roman" w:eastAsia="Times New Roman" w:hAnsi="Times New Roman" w:cs="Times New Roman"/>
          <w:i/>
          <w:iCs/>
          <w:sz w:val="24"/>
          <w:szCs w:val="24"/>
        </w:rPr>
        <w:t>generalis</w:t>
      </w:r>
      <w:proofErr w:type="spellEnd"/>
      <w:r w:rsidRPr="007C4A68">
        <w:rPr>
          <w:rFonts w:ascii="Times New Roman" w:eastAsia="Times New Roman" w:hAnsi="Times New Roman" w:cs="Times New Roman"/>
          <w:i/>
          <w:iCs/>
          <w:sz w:val="24"/>
          <w:szCs w:val="24"/>
        </w:rPr>
        <w:t xml:space="preserve">, </w:t>
      </w:r>
      <w:proofErr w:type="spellStart"/>
      <w:r w:rsidRPr="007C4A68">
        <w:rPr>
          <w:rFonts w:ascii="Times New Roman" w:eastAsia="Times New Roman" w:hAnsi="Times New Roman" w:cs="Times New Roman"/>
          <w:i/>
          <w:iCs/>
          <w:sz w:val="24"/>
          <w:szCs w:val="24"/>
        </w:rPr>
        <w:t>generaliter</w:t>
      </w:r>
      <w:proofErr w:type="spellEnd"/>
      <w:r w:rsidRPr="007C4A68">
        <w:rPr>
          <w:rFonts w:ascii="Times New Roman" w:eastAsia="Times New Roman" w:hAnsi="Times New Roman" w:cs="Times New Roman"/>
          <w:i/>
          <w:iCs/>
          <w:sz w:val="24"/>
          <w:szCs w:val="24"/>
        </w:rPr>
        <w:t xml:space="preserve"> </w:t>
      </w:r>
      <w:proofErr w:type="spellStart"/>
      <w:r w:rsidRPr="007C4A68">
        <w:rPr>
          <w:rFonts w:ascii="Times New Roman" w:eastAsia="Times New Roman" w:hAnsi="Times New Roman" w:cs="Times New Roman"/>
          <w:i/>
          <w:iCs/>
          <w:sz w:val="24"/>
          <w:szCs w:val="24"/>
        </w:rPr>
        <w:t>lex</w:t>
      </w:r>
      <w:proofErr w:type="spellEnd"/>
      <w:r w:rsidRPr="007C4A68">
        <w:rPr>
          <w:rFonts w:ascii="Times New Roman" w:eastAsia="Times New Roman" w:hAnsi="Times New Roman" w:cs="Times New Roman"/>
          <w:i/>
          <w:iCs/>
          <w:sz w:val="24"/>
          <w:szCs w:val="24"/>
        </w:rPr>
        <w:t xml:space="preserve"> </w:t>
      </w:r>
      <w:proofErr w:type="spellStart"/>
      <w:r w:rsidRPr="007C4A68">
        <w:rPr>
          <w:rFonts w:ascii="Times New Roman" w:eastAsia="Times New Roman" w:hAnsi="Times New Roman" w:cs="Times New Roman"/>
          <w:i/>
          <w:iCs/>
          <w:sz w:val="24"/>
          <w:szCs w:val="24"/>
        </w:rPr>
        <w:t>est</w:t>
      </w:r>
      <w:proofErr w:type="spellEnd"/>
      <w:r w:rsidRPr="007C4A68">
        <w:rPr>
          <w:rFonts w:ascii="Times New Roman" w:eastAsia="Times New Roman" w:hAnsi="Times New Roman" w:cs="Times New Roman"/>
          <w:i/>
          <w:iCs/>
          <w:sz w:val="24"/>
          <w:szCs w:val="24"/>
        </w:rPr>
        <w:t xml:space="preserve"> </w:t>
      </w:r>
      <w:proofErr w:type="spellStart"/>
      <w:r w:rsidRPr="007C4A68">
        <w:rPr>
          <w:rFonts w:ascii="Times New Roman" w:eastAsia="Times New Roman" w:hAnsi="Times New Roman" w:cs="Times New Roman"/>
          <w:i/>
          <w:iCs/>
          <w:sz w:val="24"/>
          <w:szCs w:val="24"/>
        </w:rPr>
        <w:t>intelligenda</w:t>
      </w:r>
      <w:proofErr w:type="spellEnd"/>
      <w:r w:rsidRPr="007C4A68">
        <w:rPr>
          <w:rFonts w:ascii="Times New Roman" w:eastAsia="Times New Roman" w:hAnsi="Times New Roman" w:cs="Times New Roman"/>
          <w:i/>
          <w:iCs/>
          <w:sz w:val="24"/>
          <w:szCs w:val="24"/>
        </w:rPr>
        <w:t xml:space="preserve">. When the law is special, but its reason is general, the law is to be understood generally.” </w:t>
      </w:r>
      <w:proofErr w:type="spellStart"/>
      <w:r w:rsidRPr="007C4A68">
        <w:rPr>
          <w:rFonts w:ascii="Times New Roman" w:eastAsia="Times New Roman" w:hAnsi="Times New Roman" w:cs="Times New Roman"/>
          <w:i/>
          <w:iCs/>
          <w:sz w:val="24"/>
          <w:szCs w:val="24"/>
        </w:rPr>
        <w:t>Bouvier’s</w:t>
      </w:r>
      <w:proofErr w:type="spellEnd"/>
      <w:r w:rsidRPr="007C4A68">
        <w:rPr>
          <w:rFonts w:ascii="Times New Roman" w:eastAsia="Times New Roman" w:hAnsi="Times New Roman" w:cs="Times New Roman"/>
          <w:i/>
          <w:iCs/>
          <w:sz w:val="24"/>
          <w:szCs w:val="24"/>
        </w:rPr>
        <w:t>, p. 2156.</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i/>
          <w:iCs/>
          <w:sz w:val="24"/>
          <w:szCs w:val="24"/>
        </w:rPr>
        <w:t>“GENERAL. Pertaining to, or designating, the genus or class, as distinguished from that which characterizes the species or individual. Universal, not particularized ; as opposed to special. Principal or central ; as opposed to local. Open or available to all, as opposed to select. Obtaining commonly, or recognized universally ; as opposed to particular. Universal or unbounded ; as opposed to limited. Comprehending the whole or directed to the whole ; as distinguished from anything applying to or designed for a portion only.” Henry Campbell Black, A Dictionary of Law (West Publishing Co.: St. Paul, Minn., 1890), p. 534.</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The purported 26 U.S.C. 6013 election facility is designated as “general” and therefore is universal or unbounded (as opposed to limited) and is the ultimate inference used by actors in government to subject its creator, the American People, to rules of conduct and regulations, in the form of statutes, and deprive them of life, liberty, and property for alleged violation thereof, under color of law, office, and authority.</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b/>
          <w:bCs/>
          <w:i/>
          <w:iCs/>
          <w:sz w:val="24"/>
          <w:szCs w:val="24"/>
          <w:u w:val="single"/>
        </w:rPr>
        <w:t>There is no constitutional authority for any American legislature to impose any rule or regulation on any American except residents of the District of Columbia or one of the Territories—and no one can produce any such authority.</w:t>
      </w:r>
      <w:hyperlink r:id="rId69" w:anchor="_ftn2" w:history="1">
        <w:r w:rsidRPr="007C4A68">
          <w:rPr>
            <w:rFonts w:ascii="Times New Roman" w:eastAsia="Times New Roman" w:hAnsi="Times New Roman" w:cs="Times New Roman"/>
            <w:b/>
            <w:bCs/>
            <w:color w:val="0000FF"/>
            <w:sz w:val="24"/>
            <w:szCs w:val="24"/>
            <w:u w:val="single"/>
          </w:rPr>
          <w:t>[2]</w:t>
        </w:r>
      </w:hyperlink>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Actors in government and the Internal Revenue Service follow the provisions of the Internal Revenue Code (which are grounded in fraud); they just did not expect that anyone would figure out the true meaning thereof.</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The meaning of the definition of the Internal Revenue Code terms “United States” and “State” is the District of Columbia (</w:t>
      </w:r>
      <w:r w:rsidRPr="007C4A68">
        <w:rPr>
          <w:rFonts w:ascii="Times New Roman" w:eastAsia="Times New Roman" w:hAnsi="Times New Roman" w:cs="Times New Roman"/>
          <w:i/>
          <w:iCs/>
          <w:sz w:val="24"/>
          <w:szCs w:val="24"/>
        </w:rPr>
        <w:t>see</w:t>
      </w:r>
      <w:r w:rsidRPr="007C4A68">
        <w:rPr>
          <w:rFonts w:ascii="Times New Roman" w:eastAsia="Times New Roman" w:hAnsi="Times New Roman" w:cs="Times New Roman"/>
          <w:sz w:val="24"/>
          <w:szCs w:val="24"/>
        </w:rPr>
        <w:t xml:space="preserve"> </w:t>
      </w:r>
      <w:hyperlink r:id="rId70" w:tgtFrame="_blank" w:history="1">
        <w:r w:rsidRPr="007C4A68">
          <w:rPr>
            <w:rFonts w:ascii="Times New Roman" w:eastAsia="Times New Roman" w:hAnsi="Times New Roman" w:cs="Times New Roman"/>
            <w:color w:val="0000FF"/>
            <w:sz w:val="24"/>
            <w:szCs w:val="24"/>
            <w:u w:val="single"/>
          </w:rPr>
          <w:t>Memorandum of Law, August 10, 2015</w:t>
        </w:r>
      </w:hyperlink>
      <w:r w:rsidRPr="007C4A68">
        <w:rPr>
          <w:rFonts w:ascii="Times New Roman" w:eastAsia="Times New Roman" w:hAnsi="Times New Roman" w:cs="Times New Roman"/>
          <w:sz w:val="24"/>
          <w:szCs w:val="24"/>
        </w:rPr>
        <w:t xml:space="preserve">, p. 6, posted August 11, 2015, </w:t>
      </w:r>
      <w:r w:rsidRPr="007C4A68">
        <w:rPr>
          <w:rFonts w:ascii="Times New Roman" w:eastAsia="Times New Roman" w:hAnsi="Times New Roman" w:cs="Times New Roman"/>
          <w:i/>
          <w:iCs/>
          <w:sz w:val="24"/>
          <w:szCs w:val="24"/>
        </w:rPr>
        <w:t>infra</w:t>
      </w:r>
      <w:r w:rsidRPr="007C4A68">
        <w:rPr>
          <w:rFonts w:ascii="Times New Roman" w:eastAsia="Times New Roman" w:hAnsi="Times New Roman" w:cs="Times New Roman"/>
          <w:sz w:val="24"/>
          <w:szCs w:val="24"/>
        </w:rPr>
        <w:t>, for proof).</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Anyone can revoke his alleged general election to be treated as a resident of the District of Columbia. To see Petitioner’s “Statement of Revocation,” click on the hyperlink below.</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(Note: Revocation of election applies only to the current and future tax years; it does not apply retroactively to previous tax years.)</w:t>
      </w:r>
    </w:p>
    <w:p w:rsidR="007C4A68" w:rsidRPr="007C4A68" w:rsidRDefault="006A45A0" w:rsidP="007C4A68">
      <w:pPr>
        <w:spacing w:before="100" w:beforeAutospacing="1" w:after="100" w:afterAutospacing="1" w:line="240" w:lineRule="auto"/>
        <w:rPr>
          <w:rFonts w:ascii="Times New Roman" w:eastAsia="Times New Roman" w:hAnsi="Times New Roman" w:cs="Times New Roman"/>
          <w:sz w:val="17"/>
          <w:szCs w:val="17"/>
        </w:rPr>
      </w:pPr>
      <w:hyperlink r:id="rId71" w:anchor="_ftnref1" w:history="1">
        <w:r w:rsidR="007C4A68" w:rsidRPr="007C4A68">
          <w:rPr>
            <w:rFonts w:ascii="Times New Roman" w:eastAsia="Times New Roman" w:hAnsi="Times New Roman" w:cs="Times New Roman"/>
            <w:color w:val="0000FF"/>
            <w:sz w:val="17"/>
            <w:u w:val="single"/>
          </w:rPr>
          <w:t>[1]</w:t>
        </w:r>
      </w:hyperlink>
      <w:r w:rsidR="007C4A68" w:rsidRPr="007C4A68">
        <w:rPr>
          <w:rFonts w:ascii="Times New Roman" w:eastAsia="Times New Roman" w:hAnsi="Times New Roman" w:cs="Times New Roman"/>
          <w:sz w:val="17"/>
          <w:szCs w:val="17"/>
        </w:rPr>
        <w:t xml:space="preserve"> </w:t>
      </w:r>
      <w:r w:rsidR="007C4A68" w:rsidRPr="007C4A68">
        <w:rPr>
          <w:rFonts w:ascii="Times New Roman" w:eastAsia="Times New Roman" w:hAnsi="Times New Roman" w:cs="Times New Roman"/>
          <w:i/>
          <w:iCs/>
          <w:sz w:val="17"/>
        </w:rPr>
        <w:t>See</w:t>
      </w:r>
      <w:r w:rsidR="007C4A68" w:rsidRPr="007C4A68">
        <w:rPr>
          <w:rFonts w:ascii="Times New Roman" w:eastAsia="Times New Roman" w:hAnsi="Times New Roman" w:cs="Times New Roman"/>
          <w:sz w:val="17"/>
          <w:szCs w:val="17"/>
        </w:rPr>
        <w:t xml:space="preserve"> </w:t>
      </w:r>
      <w:hyperlink r:id="rId72" w:tgtFrame="_blank" w:history="1">
        <w:r w:rsidR="007C4A68" w:rsidRPr="007C4A68">
          <w:rPr>
            <w:rFonts w:ascii="Times New Roman" w:eastAsia="Times New Roman" w:hAnsi="Times New Roman" w:cs="Times New Roman"/>
            <w:color w:val="0000FF"/>
            <w:sz w:val="17"/>
            <w:u w:val="single"/>
          </w:rPr>
          <w:t>Memorandum of Law, August 10, 2015</w:t>
        </w:r>
      </w:hyperlink>
      <w:r w:rsidR="007C4A68" w:rsidRPr="007C4A68">
        <w:rPr>
          <w:rFonts w:ascii="Times New Roman" w:eastAsia="Times New Roman" w:hAnsi="Times New Roman" w:cs="Times New Roman"/>
          <w:sz w:val="17"/>
          <w:szCs w:val="17"/>
        </w:rPr>
        <w:t xml:space="preserve">, pp. 8-18, posted August 11, 2015, </w:t>
      </w:r>
      <w:r w:rsidR="007C4A68" w:rsidRPr="007C4A68">
        <w:rPr>
          <w:rFonts w:ascii="Times New Roman" w:eastAsia="Times New Roman" w:hAnsi="Times New Roman" w:cs="Times New Roman"/>
          <w:i/>
          <w:iCs/>
          <w:sz w:val="17"/>
        </w:rPr>
        <w:t>infra</w:t>
      </w:r>
      <w:r w:rsidR="007C4A68" w:rsidRPr="007C4A68">
        <w:rPr>
          <w:rFonts w:ascii="Times New Roman" w:eastAsia="Times New Roman" w:hAnsi="Times New Roman" w:cs="Times New Roman"/>
          <w:sz w:val="17"/>
          <w:szCs w:val="17"/>
        </w:rPr>
        <w:t>, for proof.</w:t>
      </w:r>
    </w:p>
    <w:p w:rsidR="007C4A68" w:rsidRPr="007C4A68" w:rsidRDefault="006A45A0" w:rsidP="007C4A68">
      <w:pPr>
        <w:spacing w:before="100" w:beforeAutospacing="1" w:after="100" w:afterAutospacing="1" w:line="240" w:lineRule="auto"/>
        <w:rPr>
          <w:rFonts w:ascii="Times New Roman" w:eastAsia="Times New Roman" w:hAnsi="Times New Roman" w:cs="Times New Roman"/>
          <w:sz w:val="17"/>
          <w:szCs w:val="17"/>
        </w:rPr>
      </w:pPr>
      <w:hyperlink r:id="rId73" w:anchor="_ftnref2" w:history="1">
        <w:r w:rsidR="007C4A68" w:rsidRPr="007C4A68">
          <w:rPr>
            <w:rFonts w:ascii="Times New Roman" w:eastAsia="Times New Roman" w:hAnsi="Times New Roman" w:cs="Times New Roman"/>
            <w:color w:val="0000FF"/>
            <w:sz w:val="17"/>
            <w:u w:val="single"/>
          </w:rPr>
          <w:t>[2]</w:t>
        </w:r>
      </w:hyperlink>
      <w:r w:rsidR="007C4A68" w:rsidRPr="007C4A68">
        <w:rPr>
          <w:rFonts w:ascii="Times New Roman" w:eastAsia="Times New Roman" w:hAnsi="Times New Roman" w:cs="Times New Roman"/>
          <w:sz w:val="17"/>
          <w:szCs w:val="17"/>
        </w:rPr>
        <w:t xml:space="preserve"> The wild-card in the 16</w:t>
      </w:r>
      <w:r w:rsidR="007C4A68" w:rsidRPr="007C4A68">
        <w:rPr>
          <w:rFonts w:ascii="Times New Roman" w:eastAsia="Times New Roman" w:hAnsi="Times New Roman" w:cs="Times New Roman"/>
          <w:sz w:val="17"/>
          <w:szCs w:val="17"/>
          <w:vertAlign w:val="superscript"/>
        </w:rPr>
        <w:t>th</w:t>
      </w:r>
      <w:r w:rsidR="007C4A68" w:rsidRPr="007C4A68">
        <w:rPr>
          <w:rFonts w:ascii="Times New Roman" w:eastAsia="Times New Roman" w:hAnsi="Times New Roman" w:cs="Times New Roman"/>
          <w:sz w:val="17"/>
          <w:szCs w:val="17"/>
        </w:rPr>
        <w:t xml:space="preserve"> Amendment that fooled everyone is the meaning of the operative definition of the statutory term “State,” which is used in the text thereof and comprehends the District of Columbia and the Territories (</w:t>
      </w:r>
      <w:r w:rsidR="007C4A68" w:rsidRPr="007C4A68">
        <w:rPr>
          <w:rFonts w:ascii="Times New Roman" w:eastAsia="Times New Roman" w:hAnsi="Times New Roman" w:cs="Times New Roman"/>
          <w:i/>
          <w:iCs/>
          <w:sz w:val="17"/>
        </w:rPr>
        <w:t>see</w:t>
      </w:r>
      <w:r w:rsidR="007C4A68" w:rsidRPr="007C4A68">
        <w:rPr>
          <w:rFonts w:ascii="Times New Roman" w:eastAsia="Times New Roman" w:hAnsi="Times New Roman" w:cs="Times New Roman"/>
          <w:sz w:val="17"/>
          <w:szCs w:val="17"/>
        </w:rPr>
        <w:t xml:space="preserve"> </w:t>
      </w:r>
      <w:hyperlink r:id="rId74" w:tgtFrame="_blank" w:history="1">
        <w:r w:rsidR="007C4A68" w:rsidRPr="007C4A68">
          <w:rPr>
            <w:rFonts w:ascii="Times New Roman" w:eastAsia="Times New Roman" w:hAnsi="Times New Roman" w:cs="Times New Roman"/>
            <w:color w:val="0000FF"/>
            <w:sz w:val="17"/>
            <w:u w:val="single"/>
          </w:rPr>
          <w:t>Memorandum of Law, August 10, 2015</w:t>
        </w:r>
      </w:hyperlink>
      <w:r w:rsidR="007C4A68" w:rsidRPr="007C4A68">
        <w:rPr>
          <w:rFonts w:ascii="Times New Roman" w:eastAsia="Times New Roman" w:hAnsi="Times New Roman" w:cs="Times New Roman"/>
          <w:sz w:val="17"/>
          <w:szCs w:val="17"/>
        </w:rPr>
        <w:t xml:space="preserve">, pp. 4-8, posted August 11, 2015, </w:t>
      </w:r>
      <w:r w:rsidR="007C4A68" w:rsidRPr="007C4A68">
        <w:rPr>
          <w:rFonts w:ascii="Times New Roman" w:eastAsia="Times New Roman" w:hAnsi="Times New Roman" w:cs="Times New Roman"/>
          <w:i/>
          <w:iCs/>
          <w:sz w:val="17"/>
        </w:rPr>
        <w:t>infra</w:t>
      </w:r>
      <w:r w:rsidR="007C4A68" w:rsidRPr="007C4A68">
        <w:rPr>
          <w:rFonts w:ascii="Times New Roman" w:eastAsia="Times New Roman" w:hAnsi="Times New Roman" w:cs="Times New Roman"/>
          <w:sz w:val="17"/>
          <w:szCs w:val="17"/>
        </w:rPr>
        <w:t>, for proof).</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w:t>
      </w:r>
    </w:p>
    <w:p w:rsidR="007C4A68" w:rsidRPr="007C4A68" w:rsidRDefault="006A45A0" w:rsidP="007C4A68">
      <w:pPr>
        <w:spacing w:before="100" w:beforeAutospacing="1" w:after="100" w:afterAutospacing="1" w:line="240" w:lineRule="auto"/>
        <w:rPr>
          <w:rFonts w:ascii="Times New Roman" w:eastAsia="Times New Roman" w:hAnsi="Times New Roman" w:cs="Times New Roman"/>
          <w:sz w:val="24"/>
          <w:szCs w:val="24"/>
        </w:rPr>
      </w:pPr>
      <w:hyperlink r:id="rId75" w:tgtFrame="_blank" w:history="1">
        <w:r w:rsidR="007C4A68" w:rsidRPr="007C4A68">
          <w:rPr>
            <w:rFonts w:ascii="Times New Roman" w:eastAsia="Times New Roman" w:hAnsi="Times New Roman" w:cs="Times New Roman"/>
            <w:b/>
            <w:bCs/>
            <w:color w:val="0000FF"/>
            <w:sz w:val="24"/>
            <w:szCs w:val="24"/>
            <w:u w:val="single"/>
          </w:rPr>
          <w:t>Petitioner’s July 20, 2015, “Statement of Revocation”</w:t>
        </w:r>
      </w:hyperlink>
    </w:p>
    <w:p w:rsidR="007C4A68" w:rsidRPr="007C4A68" w:rsidRDefault="006A45A0" w:rsidP="007C4A68">
      <w:pPr>
        <w:spacing w:before="100" w:beforeAutospacing="1" w:after="100" w:afterAutospacing="1" w:line="240" w:lineRule="auto"/>
        <w:rPr>
          <w:rFonts w:ascii="Times New Roman" w:eastAsia="Times New Roman" w:hAnsi="Times New Roman" w:cs="Times New Roman"/>
          <w:sz w:val="24"/>
          <w:szCs w:val="24"/>
        </w:rPr>
      </w:pPr>
      <w:hyperlink r:id="rId76" w:tgtFrame="_blank" w:history="1">
        <w:r w:rsidR="007C4A68" w:rsidRPr="007C4A68">
          <w:rPr>
            <w:rFonts w:ascii="Times New Roman" w:eastAsia="Times New Roman" w:hAnsi="Times New Roman" w:cs="Times New Roman"/>
            <w:b/>
            <w:bCs/>
            <w:color w:val="0000FF"/>
            <w:sz w:val="24"/>
            <w:szCs w:val="24"/>
            <w:u w:val="single"/>
          </w:rPr>
          <w:t>Correction</w:t>
        </w:r>
      </w:hyperlink>
    </w:p>
    <w:p w:rsidR="007C4A68" w:rsidRPr="007C4A68" w:rsidRDefault="007C4A68" w:rsidP="007C4A68">
      <w:pPr>
        <w:spacing w:after="0"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Standard </w:t>
      </w:r>
    </w:p>
    <w:p w:rsidR="007C4A68" w:rsidRPr="007C4A68" w:rsidRDefault="006A45A0" w:rsidP="007C4A68">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77" w:history="1">
        <w:r w:rsidR="007C4A68" w:rsidRPr="007C4A68">
          <w:rPr>
            <w:rFonts w:ascii="Times New Roman" w:eastAsia="Times New Roman" w:hAnsi="Times New Roman" w:cs="Times New Roman"/>
            <w:b/>
            <w:bCs/>
            <w:color w:val="0000FF"/>
            <w:kern w:val="36"/>
            <w:sz w:val="48"/>
            <w:szCs w:val="48"/>
            <w:u w:val="single"/>
          </w:rPr>
          <w:t>Memorandum of Law lays bare the hoax that is the Internal Revenue Code</w:t>
        </w:r>
      </w:hyperlink>
    </w:p>
    <w:p w:rsidR="007C4A68" w:rsidRPr="007C4A68" w:rsidRDefault="006A45A0" w:rsidP="007C4A68">
      <w:pPr>
        <w:spacing w:after="0" w:line="240" w:lineRule="auto"/>
        <w:rPr>
          <w:rFonts w:ascii="Times New Roman" w:eastAsia="Times New Roman" w:hAnsi="Times New Roman" w:cs="Times New Roman"/>
          <w:sz w:val="24"/>
          <w:szCs w:val="24"/>
        </w:rPr>
      </w:pPr>
      <w:hyperlink r:id="rId78" w:tooltip="13:43" w:history="1">
        <w:r w:rsidR="007C4A68" w:rsidRPr="007C4A68">
          <w:rPr>
            <w:rFonts w:ascii="Times New Roman" w:eastAsia="Times New Roman" w:hAnsi="Times New Roman" w:cs="Times New Roman"/>
            <w:color w:val="0000FF"/>
            <w:sz w:val="24"/>
            <w:szCs w:val="24"/>
            <w:u w:val="single"/>
          </w:rPr>
          <w:t>August 11, 2015</w:t>
        </w:r>
      </w:hyperlink>
      <w:hyperlink r:id="rId79" w:tooltip="View all posts by supremecourtcase" w:history="1">
        <w:r w:rsidR="007C4A68" w:rsidRPr="007C4A68">
          <w:rPr>
            <w:rFonts w:ascii="Times New Roman" w:eastAsia="Times New Roman" w:hAnsi="Times New Roman" w:cs="Times New Roman"/>
            <w:color w:val="0000FF"/>
            <w:sz w:val="24"/>
            <w:szCs w:val="24"/>
            <w:u w:val="single"/>
          </w:rPr>
          <w:t>supremecourtcase</w:t>
        </w:r>
      </w:hyperlink>
      <w:r w:rsidR="007C4A68" w:rsidRPr="007C4A68">
        <w:rPr>
          <w:rFonts w:ascii="Times New Roman" w:eastAsia="Times New Roman" w:hAnsi="Times New Roman" w:cs="Times New Roman"/>
          <w:sz w:val="24"/>
          <w:szCs w:val="24"/>
        </w:rPr>
        <w:t xml:space="preserve"> </w:t>
      </w:r>
      <w:hyperlink r:id="rId80" w:anchor="respond" w:history="1">
        <w:r w:rsidR="007C4A68" w:rsidRPr="007C4A68">
          <w:rPr>
            <w:rFonts w:ascii="Times New Roman" w:eastAsia="Times New Roman" w:hAnsi="Times New Roman" w:cs="Times New Roman"/>
            <w:color w:val="0000FF"/>
            <w:sz w:val="24"/>
            <w:szCs w:val="24"/>
            <w:u w:val="single"/>
          </w:rPr>
          <w:t>Leave a comment</w:t>
        </w:r>
      </w:hyperlink>
      <w:r w:rsidR="007C4A68" w:rsidRPr="007C4A68">
        <w:rPr>
          <w:rFonts w:ascii="Times New Roman" w:eastAsia="Times New Roman" w:hAnsi="Times New Roman" w:cs="Times New Roman"/>
          <w:sz w:val="24"/>
          <w:szCs w:val="24"/>
        </w:rPr>
        <w:t xml:space="preserve"> </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Breakthrough Memorandum of Law obliterates in 20 pages the fraud that has made the 3,837-page Internal Revenue Code a monolith of impenetrability. General knowledge of the contents of the Memorandum ultimately will result in withdrawal of cooperation on the part of a sufficient number of former victims of the fraud so as to lead to its elimination.</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The commercial artifice known as “income tax” has its origins in 1622 in Amsterdam, Holland, and is the creation of goldsmith-bankers of the private Bank of Amsterdam</w:t>
      </w:r>
      <w:hyperlink r:id="rId81" w:anchor="_ftn1" w:history="1">
        <w:r w:rsidRPr="007C4A68">
          <w:rPr>
            <w:rFonts w:ascii="Times New Roman" w:eastAsia="Times New Roman" w:hAnsi="Times New Roman" w:cs="Times New Roman"/>
            <w:color w:val="0000FF"/>
            <w:sz w:val="24"/>
            <w:szCs w:val="24"/>
            <w:u w:val="single"/>
          </w:rPr>
          <w:t>[1]</w:t>
        </w:r>
      </w:hyperlink>
      <w:bookmarkEnd w:id="0"/>
      <w:r w:rsidRPr="007C4A68">
        <w:rPr>
          <w:rFonts w:ascii="Times New Roman" w:eastAsia="Times New Roman" w:hAnsi="Times New Roman" w:cs="Times New Roman"/>
          <w:sz w:val="24"/>
          <w:szCs w:val="24"/>
        </w:rPr>
        <w:t xml:space="preserve"> (est. 1609), parent bank of the private Bank of England</w:t>
      </w:r>
      <w:hyperlink r:id="rId82" w:anchor="_ftn2" w:history="1">
        <w:r w:rsidRPr="007C4A68">
          <w:rPr>
            <w:rFonts w:ascii="Times New Roman" w:eastAsia="Times New Roman" w:hAnsi="Times New Roman" w:cs="Times New Roman"/>
            <w:color w:val="0000FF"/>
            <w:sz w:val="24"/>
            <w:szCs w:val="24"/>
            <w:u w:val="single"/>
          </w:rPr>
          <w:t>[2]</w:t>
        </w:r>
      </w:hyperlink>
      <w:bookmarkEnd w:id="1"/>
      <w:r w:rsidRPr="007C4A68">
        <w:rPr>
          <w:rFonts w:ascii="Times New Roman" w:eastAsia="Times New Roman" w:hAnsi="Times New Roman" w:cs="Times New Roman"/>
          <w:sz w:val="24"/>
          <w:szCs w:val="24"/>
        </w:rPr>
        <w:t xml:space="preserve"> (est. 1694), in turn, parent bank of the private Federal Reserve</w:t>
      </w:r>
      <w:hyperlink r:id="rId83" w:anchor="_ftn3" w:history="1">
        <w:r w:rsidRPr="007C4A68">
          <w:rPr>
            <w:rFonts w:ascii="Times New Roman" w:eastAsia="Times New Roman" w:hAnsi="Times New Roman" w:cs="Times New Roman"/>
            <w:color w:val="0000FF"/>
            <w:sz w:val="24"/>
            <w:szCs w:val="24"/>
            <w:u w:val="single"/>
          </w:rPr>
          <w:t>[3]</w:t>
        </w:r>
      </w:hyperlink>
      <w:bookmarkEnd w:id="2"/>
      <w:r w:rsidRPr="007C4A68">
        <w:rPr>
          <w:rFonts w:ascii="Times New Roman" w:eastAsia="Times New Roman" w:hAnsi="Times New Roman" w:cs="Times New Roman"/>
          <w:sz w:val="24"/>
          <w:szCs w:val="24"/>
        </w:rPr>
        <w:t xml:space="preserve"> (est. 1913), and whose principals are the collective architect of the Internal Revenue Code and, in this country, sole beneficiary of the object thereof: revenue from collections of income tax (</w:t>
      </w:r>
      <w:r w:rsidRPr="007C4A68">
        <w:rPr>
          <w:rFonts w:ascii="Times New Roman" w:eastAsia="Times New Roman" w:hAnsi="Times New Roman" w:cs="Times New Roman"/>
          <w:i/>
          <w:iCs/>
          <w:sz w:val="24"/>
          <w:szCs w:val="24"/>
        </w:rPr>
        <w:t>see</w:t>
      </w:r>
      <w:r w:rsidRPr="007C4A68">
        <w:rPr>
          <w:rFonts w:ascii="Times New Roman" w:eastAsia="Times New Roman" w:hAnsi="Times New Roman" w:cs="Times New Roman"/>
          <w:sz w:val="24"/>
          <w:szCs w:val="24"/>
        </w:rPr>
        <w:t xml:space="preserve"> Memorandum for evidence and proof).</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When principals of the private Bank of Amsterdam in 1622 fail to sell the Dutch government on the idea of income tax they decide to procure their own government and country and thereafter hire Oliver Cromwell, finance and foment the English Revolution, orchestrate the execution of King Charles I of England, and install their own puppet, the Dutch prince, William III of Orange, on the British throne.</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William’s most important act is the granting, on July 21, 1694, of the charter of incorporation of “The Governor and Company of the Bank of England,” the world’s first state-sanctioned “fractional reserve banking” institution, allowing the bank to masquerade as a department of government (Bank “of England”) and circulate (lend) its own promissory notes, each of which bears the bank’s promise to pay to the bearer on demand a certain quantity of gold, but for which there is no gold in the bank’s vaults. The arrangement permits the private Bank of England to loan its own paper currency at no cost to itself (i.e., Monopoly™ money) under the protection of the government; to wit:</w:t>
      </w:r>
    </w:p>
    <w:p w:rsidR="007C4A68" w:rsidRPr="007C4A68" w:rsidRDefault="007C4A68" w:rsidP="007C4A68">
      <w:pPr>
        <w:spacing w:beforeAutospacing="1" w:after="100" w:afterAutospacing="1" w:line="240" w:lineRule="auto"/>
        <w:rPr>
          <w:rFonts w:ascii="Times New Roman" w:eastAsia="Times New Roman" w:hAnsi="Times New Roman" w:cs="Times New Roman"/>
          <w:sz w:val="20"/>
          <w:szCs w:val="20"/>
        </w:rPr>
      </w:pPr>
      <w:r w:rsidRPr="007C4A68">
        <w:rPr>
          <w:rFonts w:ascii="Times New Roman" w:eastAsia="Times New Roman" w:hAnsi="Times New Roman" w:cs="Times New Roman"/>
          <w:sz w:val="20"/>
          <w:szCs w:val="20"/>
        </w:rPr>
        <w:t>“The bank hath benefit of the interest on all moneys which it creates out of nothing.”</w:t>
      </w:r>
      <w:hyperlink r:id="rId84" w:anchor="_ftn4" w:history="1">
        <w:r w:rsidRPr="007C4A68">
          <w:rPr>
            <w:rFonts w:ascii="Times New Roman" w:eastAsia="Times New Roman" w:hAnsi="Times New Roman" w:cs="Times New Roman"/>
            <w:color w:val="0000FF"/>
            <w:sz w:val="20"/>
            <w:u w:val="single"/>
          </w:rPr>
          <w:t>[4]</w:t>
        </w:r>
      </w:hyperlink>
      <w:bookmarkEnd w:id="3"/>
      <w:r w:rsidRPr="007C4A68">
        <w:rPr>
          <w:rFonts w:ascii="Times New Roman" w:eastAsia="Times New Roman" w:hAnsi="Times New Roman" w:cs="Times New Roman"/>
          <w:sz w:val="20"/>
          <w:szCs w:val="20"/>
        </w:rPr>
        <w:t xml:space="preserve"> William Paterson, founder of the Bank of England.</w:t>
      </w:r>
    </w:p>
    <w:p w:rsidR="007C4A68" w:rsidRPr="007C4A68" w:rsidRDefault="007C4A68" w:rsidP="007C4A68">
      <w:pPr>
        <w:spacing w:beforeAutospacing="1" w:after="100" w:afterAutospacing="1" w:line="240" w:lineRule="auto"/>
        <w:rPr>
          <w:rFonts w:ascii="Times New Roman" w:eastAsia="Times New Roman" w:hAnsi="Times New Roman" w:cs="Times New Roman"/>
          <w:sz w:val="20"/>
          <w:szCs w:val="20"/>
        </w:rPr>
      </w:pPr>
      <w:r w:rsidRPr="007C4A68">
        <w:rPr>
          <w:rFonts w:ascii="Times New Roman" w:eastAsia="Times New Roman" w:hAnsi="Times New Roman" w:cs="Times New Roman"/>
          <w:sz w:val="20"/>
          <w:szCs w:val="20"/>
        </w:rPr>
        <w:t>“It [the Bank of England] coined, in short, its own credit into paper money.”</w:t>
      </w:r>
      <w:hyperlink r:id="rId85" w:anchor="_ftn5" w:history="1">
        <w:r w:rsidRPr="007C4A68">
          <w:rPr>
            <w:rFonts w:ascii="Times New Roman" w:eastAsia="Times New Roman" w:hAnsi="Times New Roman" w:cs="Times New Roman"/>
            <w:color w:val="0000FF"/>
            <w:sz w:val="20"/>
            <w:u w:val="single"/>
          </w:rPr>
          <w:t>[5]</w:t>
        </w:r>
      </w:hyperlink>
      <w:bookmarkEnd w:id="4"/>
      <w:r w:rsidRPr="007C4A68">
        <w:rPr>
          <w:rFonts w:ascii="Times New Roman" w:eastAsia="Times New Roman" w:hAnsi="Times New Roman" w:cs="Times New Roman"/>
          <w:sz w:val="20"/>
          <w:szCs w:val="20"/>
        </w:rPr>
        <w:t xml:space="preserve"> James E. Thorold Rogers, Professor of Economics, Oxford University.</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The difference between the promissory notes of the private Bank of England and Federal Reserve Notes of the private Federal Reserve is that Fed bankers did away with the promise-to-pay-gold nuisance a long time ago (House Joint Resolution 192 of June 5, 1933), having swindled and shipped to England and Germany nearly all of America’s gold between 1916 and 1932.</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Enjoying a monopoly as they do, today’s banks “loan” computer-keypad keystroke entries of digits, called “credit” (modern equivalent of the Bank of England’s hollow promissory notes), at no cost to themselves. As explained by the senior government banking official, then-Secretary of the Treasury Robert B. Anderson:</w:t>
      </w:r>
    </w:p>
    <w:p w:rsidR="007C4A68" w:rsidRPr="007C4A68" w:rsidRDefault="007C4A68" w:rsidP="007C4A68">
      <w:pPr>
        <w:spacing w:beforeAutospacing="1" w:after="100" w:afterAutospacing="1" w:line="240" w:lineRule="auto"/>
        <w:rPr>
          <w:rFonts w:ascii="Times New Roman" w:eastAsia="Times New Roman" w:hAnsi="Times New Roman" w:cs="Times New Roman"/>
          <w:sz w:val="20"/>
          <w:szCs w:val="20"/>
        </w:rPr>
      </w:pPr>
      <w:r w:rsidRPr="007C4A68">
        <w:rPr>
          <w:rFonts w:ascii="Times New Roman" w:eastAsia="Times New Roman" w:hAnsi="Times New Roman" w:cs="Times New Roman"/>
          <w:sz w:val="20"/>
          <w:szCs w:val="20"/>
        </w:rPr>
        <w:t>“[W]hen a bank makes a loan, it simply adds to the borrower’s deposit account in the bank by the amount of the loan. This money is not taken from anyone else’s deposit; it was not previously paid in to the bank by anyone. It’s new money, created by the bank for the use of the borrower.”</w:t>
      </w:r>
      <w:hyperlink r:id="rId86" w:anchor="_ftn6" w:history="1">
        <w:r w:rsidRPr="007C4A68">
          <w:rPr>
            <w:rFonts w:ascii="Times New Roman" w:eastAsia="Times New Roman" w:hAnsi="Times New Roman" w:cs="Times New Roman"/>
            <w:color w:val="0000FF"/>
            <w:sz w:val="20"/>
            <w:u w:val="single"/>
          </w:rPr>
          <w:t>[6]</w:t>
        </w:r>
      </w:hyperlink>
      <w:bookmarkEnd w:id="5"/>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The Federal Reserve banking system cannot endure without constant extraction–</w:t>
      </w:r>
      <w:r w:rsidRPr="007C4A68">
        <w:rPr>
          <w:rFonts w:ascii="Times New Roman" w:eastAsia="Times New Roman" w:hAnsi="Times New Roman" w:cs="Times New Roman"/>
          <w:i/>
          <w:iCs/>
          <w:sz w:val="24"/>
          <w:szCs w:val="24"/>
        </w:rPr>
        <w:t>by way of collection of income tax by the Internal Revenue Service to hide the fraud of inflation</w:t>
      </w:r>
      <w:r w:rsidRPr="007C4A68">
        <w:rPr>
          <w:rFonts w:ascii="Times New Roman" w:eastAsia="Times New Roman" w:hAnsi="Times New Roman" w:cs="Times New Roman"/>
          <w:sz w:val="24"/>
          <w:szCs w:val="24"/>
        </w:rPr>
        <w:t>–of a huge percentage of the digits created and injected into circulation by banks in the loan process; hence the overwhelming complexity of the Internal Revenue Code and heartlessness of those who enforce its provisions. Notwithstanding the best-laid plans of the architects thereof, however, and efforts of their enforcers, no one can stop a grass-roots movement and anyone can disabuse himself of the hoax in the pages of the attached Memorandum.</w:t>
      </w:r>
    </w:p>
    <w:p w:rsidR="007C4A68" w:rsidRPr="007C4A68" w:rsidRDefault="006A45A0" w:rsidP="007C4A68">
      <w:pPr>
        <w:spacing w:before="100" w:beforeAutospacing="1" w:after="100" w:afterAutospacing="1" w:line="240" w:lineRule="auto"/>
        <w:rPr>
          <w:rFonts w:ascii="Times New Roman" w:eastAsia="Times New Roman" w:hAnsi="Times New Roman" w:cs="Times New Roman"/>
          <w:sz w:val="17"/>
          <w:szCs w:val="17"/>
        </w:rPr>
      </w:pPr>
      <w:hyperlink r:id="rId87" w:anchor="_ftnref1" w:history="1">
        <w:r w:rsidR="007C4A68" w:rsidRPr="007C4A68">
          <w:rPr>
            <w:rFonts w:ascii="Times New Roman" w:eastAsia="Times New Roman" w:hAnsi="Times New Roman" w:cs="Times New Roman"/>
            <w:color w:val="0000FF"/>
            <w:sz w:val="17"/>
            <w:u w:val="single"/>
          </w:rPr>
          <w:t>[1]</w:t>
        </w:r>
      </w:hyperlink>
      <w:bookmarkEnd w:id="6"/>
      <w:r w:rsidR="007C4A68" w:rsidRPr="007C4A68">
        <w:rPr>
          <w:rFonts w:ascii="Times New Roman" w:eastAsia="Times New Roman" w:hAnsi="Times New Roman" w:cs="Times New Roman"/>
          <w:sz w:val="17"/>
          <w:szCs w:val="17"/>
        </w:rPr>
        <w:t xml:space="preserve"> J. De </w:t>
      </w:r>
      <w:proofErr w:type="spellStart"/>
      <w:r w:rsidR="007C4A68" w:rsidRPr="007C4A68">
        <w:rPr>
          <w:rFonts w:ascii="Times New Roman" w:eastAsia="Times New Roman" w:hAnsi="Times New Roman" w:cs="Times New Roman"/>
          <w:sz w:val="17"/>
          <w:szCs w:val="17"/>
        </w:rPr>
        <w:t>Vries</w:t>
      </w:r>
      <w:proofErr w:type="spellEnd"/>
      <w:r w:rsidR="007C4A68" w:rsidRPr="007C4A68">
        <w:rPr>
          <w:rFonts w:ascii="Times New Roman" w:eastAsia="Times New Roman" w:hAnsi="Times New Roman" w:cs="Times New Roman"/>
          <w:sz w:val="17"/>
          <w:szCs w:val="17"/>
        </w:rPr>
        <w:t xml:space="preserve"> and A. Van </w:t>
      </w:r>
      <w:proofErr w:type="spellStart"/>
      <w:r w:rsidR="007C4A68" w:rsidRPr="007C4A68">
        <w:rPr>
          <w:rFonts w:ascii="Times New Roman" w:eastAsia="Times New Roman" w:hAnsi="Times New Roman" w:cs="Times New Roman"/>
          <w:sz w:val="17"/>
          <w:szCs w:val="17"/>
        </w:rPr>
        <w:t>der</w:t>
      </w:r>
      <w:proofErr w:type="spellEnd"/>
      <w:r w:rsidR="007C4A68" w:rsidRPr="007C4A68">
        <w:rPr>
          <w:rFonts w:ascii="Times New Roman" w:eastAsia="Times New Roman" w:hAnsi="Times New Roman" w:cs="Times New Roman"/>
          <w:sz w:val="17"/>
          <w:szCs w:val="17"/>
        </w:rPr>
        <w:t xml:space="preserve"> </w:t>
      </w:r>
      <w:proofErr w:type="spellStart"/>
      <w:r w:rsidR="007C4A68" w:rsidRPr="007C4A68">
        <w:rPr>
          <w:rFonts w:ascii="Times New Roman" w:eastAsia="Times New Roman" w:hAnsi="Times New Roman" w:cs="Times New Roman"/>
          <w:sz w:val="17"/>
          <w:szCs w:val="17"/>
        </w:rPr>
        <w:t>Woude</w:t>
      </w:r>
      <w:proofErr w:type="spellEnd"/>
      <w:r w:rsidR="007C4A68" w:rsidRPr="007C4A68">
        <w:rPr>
          <w:rFonts w:ascii="Times New Roman" w:eastAsia="Times New Roman" w:hAnsi="Times New Roman" w:cs="Times New Roman"/>
          <w:sz w:val="17"/>
          <w:szCs w:val="17"/>
        </w:rPr>
        <w:t xml:space="preserve">, </w:t>
      </w:r>
      <w:r w:rsidR="007C4A68" w:rsidRPr="007C4A68">
        <w:rPr>
          <w:rFonts w:ascii="Times New Roman" w:eastAsia="Times New Roman" w:hAnsi="Times New Roman" w:cs="Times New Roman"/>
          <w:i/>
          <w:iCs/>
          <w:sz w:val="17"/>
        </w:rPr>
        <w:t>The First Modern Economy: Success, Failure, and Perseverance of the Dutch Economy, 1500–1815</w:t>
      </w:r>
      <w:r w:rsidR="007C4A68" w:rsidRPr="007C4A68">
        <w:rPr>
          <w:rFonts w:ascii="Times New Roman" w:eastAsia="Times New Roman" w:hAnsi="Times New Roman" w:cs="Times New Roman"/>
          <w:sz w:val="17"/>
          <w:szCs w:val="17"/>
        </w:rPr>
        <w:t xml:space="preserve"> (Cambridge University Press: Cambridge, 1997), p. 107.</w:t>
      </w:r>
    </w:p>
    <w:p w:rsidR="007C4A68" w:rsidRPr="007C4A68" w:rsidRDefault="006A45A0" w:rsidP="007C4A68">
      <w:pPr>
        <w:spacing w:before="100" w:beforeAutospacing="1" w:after="100" w:afterAutospacing="1" w:line="240" w:lineRule="auto"/>
        <w:rPr>
          <w:rFonts w:ascii="Times New Roman" w:eastAsia="Times New Roman" w:hAnsi="Times New Roman" w:cs="Times New Roman"/>
          <w:sz w:val="17"/>
          <w:szCs w:val="17"/>
        </w:rPr>
      </w:pPr>
      <w:hyperlink r:id="rId88" w:anchor="_ftnref2" w:history="1">
        <w:r w:rsidR="007C4A68" w:rsidRPr="007C4A68">
          <w:rPr>
            <w:rFonts w:ascii="Times New Roman" w:eastAsia="Times New Roman" w:hAnsi="Times New Roman" w:cs="Times New Roman"/>
            <w:color w:val="0000FF"/>
            <w:sz w:val="17"/>
            <w:u w:val="single"/>
          </w:rPr>
          <w:t>[2]</w:t>
        </w:r>
      </w:hyperlink>
      <w:bookmarkEnd w:id="7"/>
      <w:r w:rsidR="007C4A68" w:rsidRPr="007C4A68">
        <w:rPr>
          <w:rFonts w:ascii="Times New Roman" w:eastAsia="Times New Roman" w:hAnsi="Times New Roman" w:cs="Times New Roman"/>
          <w:sz w:val="17"/>
          <w:szCs w:val="17"/>
        </w:rPr>
        <w:t xml:space="preserve"> A. </w:t>
      </w:r>
      <w:proofErr w:type="spellStart"/>
      <w:r w:rsidR="007C4A68" w:rsidRPr="007C4A68">
        <w:rPr>
          <w:rFonts w:ascii="Times New Roman" w:eastAsia="Times New Roman" w:hAnsi="Times New Roman" w:cs="Times New Roman"/>
          <w:sz w:val="17"/>
          <w:szCs w:val="17"/>
        </w:rPr>
        <w:t>Andréadès</w:t>
      </w:r>
      <w:proofErr w:type="spellEnd"/>
      <w:r w:rsidR="007C4A68" w:rsidRPr="007C4A68">
        <w:rPr>
          <w:rFonts w:ascii="Times New Roman" w:eastAsia="Times New Roman" w:hAnsi="Times New Roman" w:cs="Times New Roman"/>
          <w:sz w:val="17"/>
          <w:szCs w:val="17"/>
        </w:rPr>
        <w:t xml:space="preserve">, </w:t>
      </w:r>
      <w:r w:rsidR="007C4A68" w:rsidRPr="007C4A68">
        <w:rPr>
          <w:rFonts w:ascii="Times New Roman" w:eastAsia="Times New Roman" w:hAnsi="Times New Roman" w:cs="Times New Roman"/>
          <w:i/>
          <w:iCs/>
          <w:sz w:val="17"/>
        </w:rPr>
        <w:t>History of the Bank of England 1640 to 1903</w:t>
      </w:r>
      <w:r w:rsidR="007C4A68" w:rsidRPr="007C4A68">
        <w:rPr>
          <w:rFonts w:ascii="Times New Roman" w:eastAsia="Times New Roman" w:hAnsi="Times New Roman" w:cs="Times New Roman"/>
          <w:sz w:val="17"/>
          <w:szCs w:val="17"/>
        </w:rPr>
        <w:t xml:space="preserve">, Fourth Edition (Reprint), </w:t>
      </w:r>
      <w:proofErr w:type="spellStart"/>
      <w:r w:rsidR="007C4A68" w:rsidRPr="007C4A68">
        <w:rPr>
          <w:rFonts w:ascii="Times New Roman" w:eastAsia="Times New Roman" w:hAnsi="Times New Roman" w:cs="Times New Roman"/>
          <w:sz w:val="17"/>
          <w:szCs w:val="17"/>
        </w:rPr>
        <w:t>Christabel</w:t>
      </w:r>
      <w:proofErr w:type="spellEnd"/>
      <w:r w:rsidR="007C4A68" w:rsidRPr="007C4A68">
        <w:rPr>
          <w:rFonts w:ascii="Times New Roman" w:eastAsia="Times New Roman" w:hAnsi="Times New Roman" w:cs="Times New Roman"/>
          <w:sz w:val="17"/>
          <w:szCs w:val="17"/>
        </w:rPr>
        <w:t xml:space="preserve"> Meredith, translator (Frank Cass &amp; Co., Ltd.: London, 1966), pp. 59-65, quoted in David </w:t>
      </w:r>
      <w:proofErr w:type="spellStart"/>
      <w:r w:rsidR="007C4A68" w:rsidRPr="007C4A68">
        <w:rPr>
          <w:rFonts w:ascii="Times New Roman" w:eastAsia="Times New Roman" w:hAnsi="Times New Roman" w:cs="Times New Roman"/>
          <w:sz w:val="17"/>
          <w:szCs w:val="17"/>
        </w:rPr>
        <w:t>Astle</w:t>
      </w:r>
      <w:proofErr w:type="spellEnd"/>
      <w:r w:rsidR="007C4A68" w:rsidRPr="007C4A68">
        <w:rPr>
          <w:rFonts w:ascii="Times New Roman" w:eastAsia="Times New Roman" w:hAnsi="Times New Roman" w:cs="Times New Roman"/>
          <w:sz w:val="17"/>
          <w:szCs w:val="17"/>
        </w:rPr>
        <w:t xml:space="preserve">, </w:t>
      </w:r>
      <w:r w:rsidR="007C4A68" w:rsidRPr="007C4A68">
        <w:rPr>
          <w:rFonts w:ascii="Times New Roman" w:eastAsia="Times New Roman" w:hAnsi="Times New Roman" w:cs="Times New Roman"/>
          <w:i/>
          <w:iCs/>
          <w:sz w:val="17"/>
        </w:rPr>
        <w:t>The Babylonian Woe: A study of the Origin of Certain Banking Practices, and of their effect on the events of Ancient History, written in the light of the Present Day</w:t>
      </w:r>
      <w:r w:rsidR="007C4A68" w:rsidRPr="007C4A68">
        <w:rPr>
          <w:rFonts w:ascii="Times New Roman" w:eastAsia="Times New Roman" w:hAnsi="Times New Roman" w:cs="Times New Roman"/>
          <w:sz w:val="17"/>
          <w:szCs w:val="17"/>
        </w:rPr>
        <w:t xml:space="preserve"> (Published privately: Toronto, 1975), p. 140.</w:t>
      </w:r>
    </w:p>
    <w:p w:rsidR="007C4A68" w:rsidRPr="007C4A68" w:rsidRDefault="006A45A0" w:rsidP="007C4A68">
      <w:pPr>
        <w:spacing w:before="100" w:beforeAutospacing="1" w:after="100" w:afterAutospacing="1" w:line="240" w:lineRule="auto"/>
        <w:rPr>
          <w:rFonts w:ascii="Times New Roman" w:eastAsia="Times New Roman" w:hAnsi="Times New Roman" w:cs="Times New Roman"/>
          <w:sz w:val="17"/>
          <w:szCs w:val="17"/>
        </w:rPr>
      </w:pPr>
      <w:hyperlink r:id="rId89" w:anchor="_ftnref3" w:history="1">
        <w:r w:rsidR="007C4A68" w:rsidRPr="007C4A68">
          <w:rPr>
            <w:rFonts w:ascii="Times New Roman" w:eastAsia="Times New Roman" w:hAnsi="Times New Roman" w:cs="Times New Roman"/>
            <w:color w:val="0000FF"/>
            <w:sz w:val="17"/>
            <w:u w:val="single"/>
          </w:rPr>
          <w:t>[3]</w:t>
        </w:r>
      </w:hyperlink>
      <w:bookmarkEnd w:id="8"/>
      <w:r w:rsidR="007C4A68" w:rsidRPr="007C4A68">
        <w:rPr>
          <w:rFonts w:ascii="Times New Roman" w:eastAsia="Times New Roman" w:hAnsi="Times New Roman" w:cs="Times New Roman"/>
          <w:sz w:val="17"/>
          <w:szCs w:val="17"/>
        </w:rPr>
        <w:t xml:space="preserve"> Eustace Mullins, </w:t>
      </w:r>
      <w:r w:rsidR="007C4A68" w:rsidRPr="007C4A68">
        <w:rPr>
          <w:rFonts w:ascii="Times New Roman" w:eastAsia="Times New Roman" w:hAnsi="Times New Roman" w:cs="Times New Roman"/>
          <w:i/>
          <w:iCs/>
          <w:sz w:val="17"/>
        </w:rPr>
        <w:t>The World Order: Our Secret Rulers</w:t>
      </w:r>
      <w:r w:rsidR="007C4A68" w:rsidRPr="007C4A68">
        <w:rPr>
          <w:rFonts w:ascii="Times New Roman" w:eastAsia="Times New Roman" w:hAnsi="Times New Roman" w:cs="Times New Roman"/>
          <w:sz w:val="17"/>
          <w:szCs w:val="17"/>
        </w:rPr>
        <w:t>, Second Edition, 1992 Election Edition (Ezra Pound Institute of Civilization: Staunton, Va., 1992), p. 102.</w:t>
      </w:r>
    </w:p>
    <w:p w:rsidR="007C4A68" w:rsidRPr="007C4A68" w:rsidRDefault="006A45A0" w:rsidP="007C4A68">
      <w:pPr>
        <w:spacing w:before="100" w:beforeAutospacing="1" w:after="100" w:afterAutospacing="1" w:line="240" w:lineRule="auto"/>
        <w:rPr>
          <w:rFonts w:ascii="Times New Roman" w:eastAsia="Times New Roman" w:hAnsi="Times New Roman" w:cs="Times New Roman"/>
          <w:sz w:val="17"/>
          <w:szCs w:val="17"/>
        </w:rPr>
      </w:pPr>
      <w:hyperlink r:id="rId90" w:anchor="_ftnref4" w:history="1">
        <w:r w:rsidR="007C4A68" w:rsidRPr="007C4A68">
          <w:rPr>
            <w:rFonts w:ascii="Times New Roman" w:eastAsia="Times New Roman" w:hAnsi="Times New Roman" w:cs="Times New Roman"/>
            <w:color w:val="0000FF"/>
            <w:sz w:val="17"/>
            <w:u w:val="single"/>
          </w:rPr>
          <w:t>[4]</w:t>
        </w:r>
      </w:hyperlink>
      <w:bookmarkEnd w:id="9"/>
      <w:r w:rsidR="007C4A68" w:rsidRPr="007C4A68">
        <w:rPr>
          <w:rFonts w:ascii="Times New Roman" w:eastAsia="Times New Roman" w:hAnsi="Times New Roman" w:cs="Times New Roman"/>
          <w:sz w:val="17"/>
          <w:szCs w:val="17"/>
        </w:rPr>
        <w:t xml:space="preserve"> William Paterson, quoted in Christopher Hollis, </w:t>
      </w:r>
      <w:r w:rsidR="007C4A68" w:rsidRPr="007C4A68">
        <w:rPr>
          <w:rFonts w:ascii="Times New Roman" w:eastAsia="Times New Roman" w:hAnsi="Times New Roman" w:cs="Times New Roman"/>
          <w:i/>
          <w:iCs/>
          <w:sz w:val="17"/>
        </w:rPr>
        <w:t>The Two Nations: A Financial Study of English History</w:t>
      </w:r>
      <w:r w:rsidR="007C4A68" w:rsidRPr="007C4A68">
        <w:rPr>
          <w:rFonts w:ascii="Times New Roman" w:eastAsia="Times New Roman" w:hAnsi="Times New Roman" w:cs="Times New Roman"/>
          <w:sz w:val="17"/>
          <w:szCs w:val="17"/>
        </w:rPr>
        <w:t>, First American Edition (Longmans, Green &amp; Co.: New York, 1936), p. 30.</w:t>
      </w:r>
    </w:p>
    <w:p w:rsidR="007C4A68" w:rsidRPr="007C4A68" w:rsidRDefault="006A45A0" w:rsidP="007C4A68">
      <w:pPr>
        <w:spacing w:before="100" w:beforeAutospacing="1" w:after="100" w:afterAutospacing="1" w:line="240" w:lineRule="auto"/>
        <w:rPr>
          <w:rFonts w:ascii="Times New Roman" w:eastAsia="Times New Roman" w:hAnsi="Times New Roman" w:cs="Times New Roman"/>
          <w:sz w:val="17"/>
          <w:szCs w:val="17"/>
        </w:rPr>
      </w:pPr>
      <w:hyperlink r:id="rId91" w:anchor="_ftnref5" w:history="1">
        <w:r w:rsidR="007C4A68" w:rsidRPr="007C4A68">
          <w:rPr>
            <w:rFonts w:ascii="Times New Roman" w:eastAsia="Times New Roman" w:hAnsi="Times New Roman" w:cs="Times New Roman"/>
            <w:color w:val="0000FF"/>
            <w:sz w:val="17"/>
            <w:u w:val="single"/>
          </w:rPr>
          <w:t>[5]</w:t>
        </w:r>
      </w:hyperlink>
      <w:bookmarkEnd w:id="10"/>
      <w:r w:rsidR="007C4A68" w:rsidRPr="007C4A68">
        <w:rPr>
          <w:rFonts w:ascii="Times New Roman" w:eastAsia="Times New Roman" w:hAnsi="Times New Roman" w:cs="Times New Roman"/>
          <w:sz w:val="17"/>
          <w:szCs w:val="17"/>
        </w:rPr>
        <w:t xml:space="preserve"> James E. Thorold Rogers, </w:t>
      </w:r>
      <w:r w:rsidR="007C4A68" w:rsidRPr="007C4A68">
        <w:rPr>
          <w:rFonts w:ascii="Times New Roman" w:eastAsia="Times New Roman" w:hAnsi="Times New Roman" w:cs="Times New Roman"/>
          <w:i/>
          <w:iCs/>
          <w:sz w:val="17"/>
        </w:rPr>
        <w:t>The First Nine Years of the Bank of England: An Enquiry Into a Weekly Record of The Price of Bank Stock from August 17, 1694 to September 17, 1703</w:t>
      </w:r>
      <w:r w:rsidR="007C4A68" w:rsidRPr="007C4A68">
        <w:rPr>
          <w:rFonts w:ascii="Times New Roman" w:eastAsia="Times New Roman" w:hAnsi="Times New Roman" w:cs="Times New Roman"/>
          <w:sz w:val="17"/>
          <w:szCs w:val="17"/>
        </w:rPr>
        <w:t xml:space="preserve"> (Clarendon Press: Oxford, 1887), p. 9, quoted in </w:t>
      </w:r>
      <w:proofErr w:type="spellStart"/>
      <w:r w:rsidR="007C4A68" w:rsidRPr="007C4A68">
        <w:rPr>
          <w:rFonts w:ascii="Times New Roman" w:eastAsia="Times New Roman" w:hAnsi="Times New Roman" w:cs="Times New Roman"/>
          <w:sz w:val="17"/>
          <w:szCs w:val="17"/>
        </w:rPr>
        <w:t>Andréadès</w:t>
      </w:r>
      <w:proofErr w:type="spellEnd"/>
      <w:r w:rsidR="007C4A68" w:rsidRPr="007C4A68">
        <w:rPr>
          <w:rFonts w:ascii="Times New Roman" w:eastAsia="Times New Roman" w:hAnsi="Times New Roman" w:cs="Times New Roman"/>
          <w:sz w:val="17"/>
          <w:szCs w:val="17"/>
        </w:rPr>
        <w:t xml:space="preserve"> (</w:t>
      </w:r>
      <w:r w:rsidR="007C4A68" w:rsidRPr="007C4A68">
        <w:rPr>
          <w:rFonts w:ascii="Times New Roman" w:eastAsia="Times New Roman" w:hAnsi="Times New Roman" w:cs="Times New Roman"/>
          <w:i/>
          <w:iCs/>
          <w:sz w:val="17"/>
          <w:szCs w:val="17"/>
        </w:rPr>
        <w:t>supra</w:t>
      </w:r>
      <w:r w:rsidR="007C4A68" w:rsidRPr="007C4A68">
        <w:rPr>
          <w:rFonts w:ascii="Times New Roman" w:eastAsia="Times New Roman" w:hAnsi="Times New Roman" w:cs="Times New Roman"/>
          <w:sz w:val="17"/>
          <w:szCs w:val="17"/>
        </w:rPr>
        <w:t>, fn. 2), p. 82.</w:t>
      </w:r>
    </w:p>
    <w:p w:rsidR="007C4A68" w:rsidRPr="007C4A68" w:rsidRDefault="006A45A0" w:rsidP="007C4A68">
      <w:pPr>
        <w:spacing w:before="100" w:beforeAutospacing="1" w:after="100" w:afterAutospacing="1" w:line="240" w:lineRule="auto"/>
        <w:rPr>
          <w:rFonts w:ascii="Times New Roman" w:eastAsia="Times New Roman" w:hAnsi="Times New Roman" w:cs="Times New Roman"/>
          <w:sz w:val="17"/>
          <w:szCs w:val="17"/>
        </w:rPr>
      </w:pPr>
      <w:hyperlink r:id="rId92" w:anchor="_ftnref6" w:history="1">
        <w:r w:rsidR="007C4A68" w:rsidRPr="007C4A68">
          <w:rPr>
            <w:rFonts w:ascii="Times New Roman" w:eastAsia="Times New Roman" w:hAnsi="Times New Roman" w:cs="Times New Roman"/>
            <w:color w:val="0000FF"/>
            <w:sz w:val="17"/>
            <w:u w:val="single"/>
          </w:rPr>
          <w:t>[6]</w:t>
        </w:r>
      </w:hyperlink>
      <w:bookmarkEnd w:id="11"/>
      <w:r w:rsidR="007C4A68" w:rsidRPr="007C4A68">
        <w:rPr>
          <w:rFonts w:ascii="Times New Roman" w:eastAsia="Times New Roman" w:hAnsi="Times New Roman" w:cs="Times New Roman"/>
          <w:sz w:val="17"/>
          <w:szCs w:val="17"/>
        </w:rPr>
        <w:t xml:space="preserve"> Robert B. Anderson, quoted in “How Much Will Your Dollar Buy – Interview with Secretary of the Treasury Robert B. Anderson,” </w:t>
      </w:r>
      <w:r w:rsidR="007C4A68" w:rsidRPr="007C4A68">
        <w:rPr>
          <w:rFonts w:ascii="Times New Roman" w:eastAsia="Times New Roman" w:hAnsi="Times New Roman" w:cs="Times New Roman"/>
          <w:i/>
          <w:iCs/>
          <w:sz w:val="17"/>
        </w:rPr>
        <w:t>U.S. News &amp; World Report</w:t>
      </w:r>
      <w:r w:rsidR="007C4A68" w:rsidRPr="007C4A68">
        <w:rPr>
          <w:rFonts w:ascii="Times New Roman" w:eastAsia="Times New Roman" w:hAnsi="Times New Roman" w:cs="Times New Roman"/>
          <w:sz w:val="17"/>
          <w:szCs w:val="17"/>
        </w:rPr>
        <w:t>, August 31, 1959, pp. 68-69.</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 * *</w:t>
      </w:r>
    </w:p>
    <w:p w:rsidR="007C4A68" w:rsidRPr="007C4A68" w:rsidRDefault="006A45A0" w:rsidP="007C4A68">
      <w:pPr>
        <w:spacing w:before="100" w:beforeAutospacing="1" w:after="100" w:afterAutospacing="1" w:line="240" w:lineRule="auto"/>
        <w:rPr>
          <w:rFonts w:ascii="Times New Roman" w:eastAsia="Times New Roman" w:hAnsi="Times New Roman" w:cs="Times New Roman"/>
          <w:sz w:val="24"/>
          <w:szCs w:val="24"/>
        </w:rPr>
      </w:pPr>
      <w:hyperlink r:id="rId93" w:tgtFrame="_blank" w:history="1">
        <w:r w:rsidR="007C4A68" w:rsidRPr="007C4A68">
          <w:rPr>
            <w:rFonts w:ascii="Times New Roman" w:eastAsia="Times New Roman" w:hAnsi="Times New Roman" w:cs="Times New Roman"/>
            <w:color w:val="0000FF"/>
            <w:sz w:val="24"/>
            <w:szCs w:val="24"/>
            <w:u w:val="single"/>
          </w:rPr>
          <w:t>Memorandum of Law, August 10, 2015</w:t>
        </w:r>
      </w:hyperlink>
    </w:p>
    <w:p w:rsidR="007C4A68" w:rsidRPr="007C4A68" w:rsidRDefault="007C4A68" w:rsidP="007C4A68">
      <w:pPr>
        <w:spacing w:after="0"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Standard </w:t>
      </w:r>
    </w:p>
    <w:p w:rsidR="007C4A68" w:rsidRPr="007C4A68" w:rsidRDefault="006A45A0" w:rsidP="007C4A68">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94" w:history="1">
        <w:r w:rsidR="007C4A68" w:rsidRPr="007C4A68">
          <w:rPr>
            <w:rFonts w:ascii="Times New Roman" w:eastAsia="Times New Roman" w:hAnsi="Times New Roman" w:cs="Times New Roman"/>
            <w:b/>
            <w:bCs/>
            <w:color w:val="0000FF"/>
            <w:kern w:val="36"/>
            <w:sz w:val="48"/>
            <w:szCs w:val="48"/>
            <w:u w:val="single"/>
          </w:rPr>
          <w:t>Supreme Court denies the petition—but because of extraordinary intervening circumstances the case is not over.</w:t>
        </w:r>
      </w:hyperlink>
    </w:p>
    <w:p w:rsidR="007C4A68" w:rsidRPr="007C4A68" w:rsidRDefault="006A45A0" w:rsidP="007C4A68">
      <w:pPr>
        <w:spacing w:after="0" w:line="240" w:lineRule="auto"/>
        <w:rPr>
          <w:rFonts w:ascii="Times New Roman" w:eastAsia="Times New Roman" w:hAnsi="Times New Roman" w:cs="Times New Roman"/>
          <w:sz w:val="24"/>
          <w:szCs w:val="24"/>
        </w:rPr>
      </w:pPr>
      <w:hyperlink r:id="rId95" w:tooltip="22:26" w:history="1">
        <w:r w:rsidR="007C4A68" w:rsidRPr="007C4A68">
          <w:rPr>
            <w:rFonts w:ascii="Times New Roman" w:eastAsia="Times New Roman" w:hAnsi="Times New Roman" w:cs="Times New Roman"/>
            <w:color w:val="0000FF"/>
            <w:sz w:val="24"/>
            <w:szCs w:val="24"/>
            <w:u w:val="single"/>
          </w:rPr>
          <w:t>July 2, 2015</w:t>
        </w:r>
      </w:hyperlink>
      <w:hyperlink r:id="rId96" w:tooltip="View all posts by supremecourtcase" w:history="1">
        <w:r w:rsidR="007C4A68" w:rsidRPr="007C4A68">
          <w:rPr>
            <w:rFonts w:ascii="Times New Roman" w:eastAsia="Times New Roman" w:hAnsi="Times New Roman" w:cs="Times New Roman"/>
            <w:color w:val="0000FF"/>
            <w:sz w:val="24"/>
            <w:szCs w:val="24"/>
            <w:u w:val="single"/>
          </w:rPr>
          <w:t>supremecourtcase</w:t>
        </w:r>
      </w:hyperlink>
      <w:r w:rsidR="007C4A68" w:rsidRPr="007C4A68">
        <w:rPr>
          <w:rFonts w:ascii="Times New Roman" w:eastAsia="Times New Roman" w:hAnsi="Times New Roman" w:cs="Times New Roman"/>
          <w:sz w:val="24"/>
          <w:szCs w:val="24"/>
        </w:rPr>
        <w:t xml:space="preserve"> </w:t>
      </w:r>
      <w:hyperlink r:id="rId97" w:anchor="respond" w:history="1">
        <w:r w:rsidR="007C4A68" w:rsidRPr="007C4A68">
          <w:rPr>
            <w:rFonts w:ascii="Times New Roman" w:eastAsia="Times New Roman" w:hAnsi="Times New Roman" w:cs="Times New Roman"/>
            <w:color w:val="0000FF"/>
            <w:sz w:val="24"/>
            <w:szCs w:val="24"/>
            <w:u w:val="single"/>
          </w:rPr>
          <w:t>Leave a comment</w:t>
        </w:r>
      </w:hyperlink>
      <w:r w:rsidR="007C4A68" w:rsidRPr="007C4A68">
        <w:rPr>
          <w:rFonts w:ascii="Times New Roman" w:eastAsia="Times New Roman" w:hAnsi="Times New Roman" w:cs="Times New Roman"/>
          <w:sz w:val="24"/>
          <w:szCs w:val="24"/>
        </w:rPr>
        <w:t xml:space="preserve"> </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The </w:t>
      </w:r>
      <w:hyperlink r:id="rId98" w:tgtFrame="_blank" w:history="1">
        <w:r w:rsidRPr="007C4A68">
          <w:rPr>
            <w:rFonts w:ascii="Times New Roman" w:eastAsia="Times New Roman" w:hAnsi="Times New Roman" w:cs="Times New Roman"/>
            <w:color w:val="0000FF"/>
            <w:sz w:val="24"/>
            <w:szCs w:val="24"/>
            <w:u w:val="single"/>
          </w:rPr>
          <w:t>Petition for Writ of Certiorari</w:t>
        </w:r>
      </w:hyperlink>
      <w:r w:rsidRPr="007C4A68">
        <w:rPr>
          <w:rFonts w:ascii="Times New Roman" w:eastAsia="Times New Roman" w:hAnsi="Times New Roman" w:cs="Times New Roman"/>
          <w:sz w:val="24"/>
          <w:szCs w:val="24"/>
        </w:rPr>
        <w:t xml:space="preserve"> presents incontrovertible evidence that every Federal trial court in America is a </w:t>
      </w:r>
      <w:r w:rsidRPr="007C4A68">
        <w:rPr>
          <w:rFonts w:ascii="Times New Roman" w:eastAsia="Times New Roman" w:hAnsi="Times New Roman" w:cs="Times New Roman"/>
          <w:i/>
          <w:iCs/>
          <w:sz w:val="24"/>
          <w:szCs w:val="24"/>
        </w:rPr>
        <w:t>territorial</w:t>
      </w:r>
      <w:r w:rsidRPr="007C4A68">
        <w:rPr>
          <w:rFonts w:ascii="Times New Roman" w:eastAsia="Times New Roman" w:hAnsi="Times New Roman" w:cs="Times New Roman"/>
          <w:sz w:val="24"/>
          <w:szCs w:val="24"/>
        </w:rPr>
        <w:t xml:space="preserve"> (not a </w:t>
      </w:r>
      <w:r w:rsidRPr="007C4A68">
        <w:rPr>
          <w:rFonts w:ascii="Times New Roman" w:eastAsia="Times New Roman" w:hAnsi="Times New Roman" w:cs="Times New Roman"/>
          <w:i/>
          <w:iCs/>
          <w:sz w:val="24"/>
          <w:szCs w:val="24"/>
        </w:rPr>
        <w:t>constitutional</w:t>
      </w:r>
      <w:r w:rsidRPr="007C4A68">
        <w:rPr>
          <w:rFonts w:ascii="Times New Roman" w:eastAsia="Times New Roman" w:hAnsi="Times New Roman" w:cs="Times New Roman"/>
          <w:sz w:val="24"/>
          <w:szCs w:val="24"/>
        </w:rPr>
        <w:t>) court with jurisdiction only in the District of Columbia or other Federal territory.</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Notwithstanding this legal fact—which no one denies—the Supreme Court on June 8, 2015, issued an </w:t>
      </w:r>
      <w:hyperlink r:id="rId99" w:tgtFrame="_blank" w:history="1">
        <w:r w:rsidRPr="007C4A68">
          <w:rPr>
            <w:rFonts w:ascii="Times New Roman" w:eastAsia="Times New Roman" w:hAnsi="Times New Roman" w:cs="Times New Roman"/>
            <w:color w:val="0000FF"/>
            <w:sz w:val="24"/>
            <w:szCs w:val="24"/>
            <w:u w:val="single"/>
          </w:rPr>
          <w:t>order denying certiorari.</w:t>
        </w:r>
      </w:hyperlink>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This means that there is some other overriding non-constitutional (statutory) factor—unknown to Petitioner at time of filing of the petition but known by all bench officers involved in this case—that allows the Justices to approve of the judgment of the appeals court affirming the judgment of the district court despite the fact that the district court is a territorial court with no jurisdiction in Texas (where Petitioner resides).</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Supreme Court Rule 44.2 provides that under certain extraordinary conditions a petition may be presented a second time, through a “Petition for Rehearing.”</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Such conditions have arisen since the original filing April 29, 2015.</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Wherefore, Petitioner on June 30, 2015, filed a Petition for Rehearing.</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The </w:t>
      </w:r>
      <w:hyperlink r:id="rId100" w:tgtFrame="_blank" w:history="1">
        <w:r w:rsidRPr="007C4A68">
          <w:rPr>
            <w:rFonts w:ascii="Times New Roman" w:eastAsia="Times New Roman" w:hAnsi="Times New Roman" w:cs="Times New Roman"/>
            <w:color w:val="0000FF"/>
            <w:sz w:val="24"/>
            <w:szCs w:val="24"/>
            <w:u w:val="single"/>
          </w:rPr>
          <w:t>Petition for Rehearing</w:t>
        </w:r>
      </w:hyperlink>
      <w:r w:rsidRPr="007C4A68">
        <w:rPr>
          <w:rFonts w:ascii="Times New Roman" w:eastAsia="Times New Roman" w:hAnsi="Times New Roman" w:cs="Times New Roman"/>
          <w:sz w:val="24"/>
          <w:szCs w:val="24"/>
        </w:rPr>
        <w:t>, though only 14 pages in length, is comprehensive and reveals, among other things:</w:t>
      </w:r>
    </w:p>
    <w:p w:rsidR="007C4A68" w:rsidRPr="007C4A68" w:rsidRDefault="007C4A68" w:rsidP="007C4A6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On what, exactly, the district court relies for authority to exercise jurisdiction, despite the fact that Petitioner resides (and Petitioner’s property is located) without the territory over which the court has jurisdiction;</w:t>
      </w:r>
    </w:p>
    <w:p w:rsidR="007C4A68" w:rsidRPr="007C4A68" w:rsidRDefault="007C4A68" w:rsidP="007C4A6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The particular section of the Internal Revenue Code that is used to ensnare </w:t>
      </w:r>
      <w:r w:rsidRPr="007C4A68">
        <w:rPr>
          <w:rFonts w:ascii="Times New Roman" w:eastAsia="Times New Roman" w:hAnsi="Times New Roman" w:cs="Times New Roman"/>
          <w:i/>
          <w:iCs/>
          <w:sz w:val="24"/>
          <w:szCs w:val="24"/>
        </w:rPr>
        <w:t xml:space="preserve">American </w:t>
      </w:r>
      <w:proofErr w:type="spellStart"/>
      <w:r w:rsidRPr="007C4A68">
        <w:rPr>
          <w:rFonts w:ascii="Times New Roman" w:eastAsia="Times New Roman" w:hAnsi="Times New Roman" w:cs="Times New Roman"/>
          <w:i/>
          <w:iCs/>
          <w:sz w:val="24"/>
          <w:szCs w:val="24"/>
        </w:rPr>
        <w:t>nontaxpayers</w:t>
      </w:r>
      <w:proofErr w:type="spellEnd"/>
      <w:r w:rsidRPr="007C4A68">
        <w:rPr>
          <w:rFonts w:ascii="Times New Roman" w:eastAsia="Times New Roman" w:hAnsi="Times New Roman" w:cs="Times New Roman"/>
          <w:sz w:val="24"/>
          <w:szCs w:val="24"/>
        </w:rPr>
        <w:t xml:space="preserve"> into an implied contract that makes them liable to Federal income taxes no matter where they may reside, but also provides the exact procedure whereby any such American can reverse the process, extinguish the implied contract, and be relieved of liability to Federal income taxes;</w:t>
      </w:r>
    </w:p>
    <w:p w:rsidR="007C4A68" w:rsidRPr="007C4A68" w:rsidRDefault="007C4A68" w:rsidP="007C4A6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The precise meaning of the definition of the most important statutory term in existence, around which literally everything else revolves: “United States”;</w:t>
      </w:r>
    </w:p>
    <w:p w:rsidR="007C4A68" w:rsidRPr="007C4A68" w:rsidRDefault="007C4A68" w:rsidP="007C4A6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The universal and simple but semi-secret rules of statutory construction (used by Congress to legislate the law into existence and every Federal judge and magistrate and Supreme Court Justice to interpret and pronounce it thereafter) that allow anyone to determine the exact meaning of any definition (no matter how vague, complicated, or confusing) of any statutory term in any body of law; and</w:t>
      </w:r>
    </w:p>
    <w:p w:rsidR="007C4A68" w:rsidRPr="007C4A68" w:rsidRDefault="007C4A68" w:rsidP="007C4A6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Documentary evidence in the record of the case that shows that the district judge is not an impartial arbiter but rather an agent of the plaintiff, i.e., the United States, secretly working in its behalf to defeat Petitioner—a setting known as a kangaroo court: </w:t>
      </w:r>
    </w:p>
    <w:p w:rsidR="007C4A68" w:rsidRPr="007C4A68" w:rsidRDefault="007C4A68" w:rsidP="007C4A68">
      <w:pPr>
        <w:spacing w:after="0" w:line="240" w:lineRule="auto"/>
        <w:ind w:left="2160"/>
        <w:rPr>
          <w:rFonts w:ascii="Times New Roman" w:eastAsia="Times New Roman" w:hAnsi="Times New Roman" w:cs="Times New Roman"/>
          <w:sz w:val="24"/>
          <w:szCs w:val="24"/>
        </w:rPr>
      </w:pPr>
      <w:r w:rsidRPr="007C4A68">
        <w:rPr>
          <w:rFonts w:ascii="Times New Roman" w:eastAsia="Times New Roman" w:hAnsi="Times New Roman" w:cs="Times New Roman"/>
          <w:i/>
          <w:iCs/>
          <w:sz w:val="24"/>
          <w:szCs w:val="24"/>
        </w:rPr>
        <w:t>kangaroo court.</w:t>
      </w:r>
      <w:r w:rsidRPr="007C4A68">
        <w:rPr>
          <w:rFonts w:ascii="Times New Roman" w:eastAsia="Times New Roman" w:hAnsi="Times New Roman" w:cs="Times New Roman"/>
          <w:sz w:val="24"/>
          <w:szCs w:val="24"/>
        </w:rPr>
        <w:t xml:space="preserve"> A self-appointed tribunal or mock court in which the principles of law and justice are disregarded, perverted, or parodied. . . . 2. A court or tribunal characterized by unauthorized or irregular procedures, esp. so as to render a fair proceeding impossible. 3. A sham legal proceeding. </w:t>
      </w:r>
      <w:r w:rsidRPr="007C4A68">
        <w:rPr>
          <w:rFonts w:ascii="Times New Roman" w:eastAsia="Times New Roman" w:hAnsi="Times New Roman" w:cs="Times New Roman"/>
          <w:i/>
          <w:iCs/>
          <w:sz w:val="24"/>
          <w:szCs w:val="24"/>
        </w:rPr>
        <w:t>Black’s Law Dictionary</w:t>
      </w:r>
      <w:r w:rsidRPr="007C4A68">
        <w:rPr>
          <w:rFonts w:ascii="Times New Roman" w:eastAsia="Times New Roman" w:hAnsi="Times New Roman" w:cs="Times New Roman"/>
          <w:sz w:val="24"/>
          <w:szCs w:val="24"/>
        </w:rPr>
        <w:t xml:space="preserve"> 7th ed., p. 359</w:t>
      </w:r>
    </w:p>
    <w:p w:rsidR="007C4A68" w:rsidRPr="007C4A68" w:rsidRDefault="007C4A68" w:rsidP="007C4A68">
      <w:pPr>
        <w:spacing w:before="100" w:beforeAutospacing="1" w:after="100" w:afterAutospacing="1" w:line="240" w:lineRule="auto"/>
        <w:ind w:left="720"/>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 * *</w:t>
      </w:r>
    </w:p>
    <w:p w:rsidR="007C4A68" w:rsidRPr="007C4A68" w:rsidRDefault="006A45A0" w:rsidP="007C4A68">
      <w:pPr>
        <w:spacing w:before="100" w:beforeAutospacing="1" w:after="100" w:afterAutospacing="1" w:line="240" w:lineRule="auto"/>
        <w:ind w:left="720"/>
        <w:rPr>
          <w:rFonts w:ascii="Times New Roman" w:eastAsia="Times New Roman" w:hAnsi="Times New Roman" w:cs="Times New Roman"/>
          <w:sz w:val="24"/>
          <w:szCs w:val="24"/>
        </w:rPr>
      </w:pPr>
      <w:hyperlink r:id="rId101" w:history="1">
        <w:r w:rsidR="007C4A68" w:rsidRPr="007C4A68">
          <w:rPr>
            <w:rFonts w:ascii="Times New Roman" w:eastAsia="Times New Roman" w:hAnsi="Times New Roman" w:cs="Times New Roman"/>
            <w:color w:val="0000FF"/>
            <w:sz w:val="24"/>
            <w:szCs w:val="24"/>
            <w:u w:val="single"/>
          </w:rPr>
          <w:t>12 – Supreme Court denies Petition for Writ of Certiorari June 8, 2015</w:t>
        </w:r>
      </w:hyperlink>
    </w:p>
    <w:p w:rsidR="007C4A68" w:rsidRPr="007C4A68" w:rsidRDefault="006A45A0" w:rsidP="007C4A68">
      <w:pPr>
        <w:spacing w:before="100" w:beforeAutospacing="1" w:after="100" w:afterAutospacing="1" w:line="240" w:lineRule="auto"/>
        <w:ind w:left="720"/>
        <w:rPr>
          <w:rFonts w:ascii="Times New Roman" w:eastAsia="Times New Roman" w:hAnsi="Times New Roman" w:cs="Times New Roman"/>
          <w:sz w:val="24"/>
          <w:szCs w:val="24"/>
        </w:rPr>
      </w:pPr>
      <w:hyperlink r:id="rId102" w:history="1">
        <w:r w:rsidR="007C4A68" w:rsidRPr="007C4A68">
          <w:rPr>
            <w:rFonts w:ascii="Times New Roman" w:eastAsia="Times New Roman" w:hAnsi="Times New Roman" w:cs="Times New Roman"/>
            <w:color w:val="0000FF"/>
            <w:sz w:val="24"/>
            <w:szCs w:val="24"/>
            <w:u w:val="single"/>
          </w:rPr>
          <w:t>13 – Petition For Rehearing, filed June 30, 2015</w:t>
        </w:r>
      </w:hyperlink>
    </w:p>
    <w:p w:rsidR="007C4A68" w:rsidRPr="007C4A68" w:rsidRDefault="006A45A0" w:rsidP="007C4A68">
      <w:pPr>
        <w:spacing w:before="100" w:beforeAutospacing="1" w:after="100" w:afterAutospacing="1" w:line="240" w:lineRule="auto"/>
        <w:ind w:left="720"/>
        <w:rPr>
          <w:rFonts w:ascii="Times New Roman" w:eastAsia="Times New Roman" w:hAnsi="Times New Roman" w:cs="Times New Roman"/>
          <w:sz w:val="24"/>
          <w:szCs w:val="24"/>
        </w:rPr>
      </w:pPr>
      <w:hyperlink r:id="rId103" w:history="1">
        <w:r w:rsidR="007C4A68" w:rsidRPr="007C4A68">
          <w:rPr>
            <w:rFonts w:ascii="Times New Roman" w:eastAsia="Times New Roman" w:hAnsi="Times New Roman" w:cs="Times New Roman"/>
            <w:color w:val="0000FF"/>
            <w:sz w:val="24"/>
            <w:szCs w:val="24"/>
            <w:u w:val="single"/>
          </w:rPr>
          <w:t>14 – ‘</w:t>
        </w:r>
        <w:proofErr w:type="spellStart"/>
        <w:r w:rsidR="007C4A68" w:rsidRPr="007C4A68">
          <w:rPr>
            <w:rFonts w:ascii="Times New Roman" w:eastAsia="Times New Roman" w:hAnsi="Times New Roman" w:cs="Times New Roman"/>
            <w:color w:val="0000FF"/>
            <w:sz w:val="24"/>
            <w:szCs w:val="24"/>
            <w:u w:val="single"/>
          </w:rPr>
          <w:t>Sua</w:t>
        </w:r>
        <w:proofErr w:type="spellEnd"/>
        <w:r w:rsidR="007C4A68" w:rsidRPr="007C4A68">
          <w:rPr>
            <w:rFonts w:ascii="Times New Roman" w:eastAsia="Times New Roman" w:hAnsi="Times New Roman" w:cs="Times New Roman"/>
            <w:color w:val="0000FF"/>
            <w:sz w:val="24"/>
            <w:szCs w:val="24"/>
            <w:u w:val="single"/>
          </w:rPr>
          <w:t xml:space="preserve"> </w:t>
        </w:r>
        <w:proofErr w:type="spellStart"/>
        <w:r w:rsidR="007C4A68" w:rsidRPr="007C4A68">
          <w:rPr>
            <w:rFonts w:ascii="Times New Roman" w:eastAsia="Times New Roman" w:hAnsi="Times New Roman" w:cs="Times New Roman"/>
            <w:color w:val="0000FF"/>
            <w:sz w:val="24"/>
            <w:szCs w:val="24"/>
            <w:u w:val="single"/>
          </w:rPr>
          <w:t>sponte</w:t>
        </w:r>
        <w:proofErr w:type="spellEnd"/>
        <w:r w:rsidR="007C4A68" w:rsidRPr="007C4A68">
          <w:rPr>
            <w:rFonts w:ascii="Times New Roman" w:eastAsia="Times New Roman" w:hAnsi="Times New Roman" w:cs="Times New Roman"/>
            <w:color w:val="0000FF"/>
            <w:sz w:val="24"/>
            <w:szCs w:val="24"/>
            <w:u w:val="single"/>
          </w:rPr>
          <w:t>’ defined</w:t>
        </w:r>
      </w:hyperlink>
    </w:p>
    <w:p w:rsidR="007C4A68" w:rsidRPr="007C4A68" w:rsidRDefault="006A45A0" w:rsidP="007C4A68">
      <w:pPr>
        <w:spacing w:before="100" w:beforeAutospacing="1" w:after="100" w:afterAutospacing="1" w:line="240" w:lineRule="auto"/>
        <w:ind w:left="720"/>
        <w:rPr>
          <w:rFonts w:ascii="Times New Roman" w:eastAsia="Times New Roman" w:hAnsi="Times New Roman" w:cs="Times New Roman"/>
          <w:sz w:val="24"/>
          <w:szCs w:val="24"/>
        </w:rPr>
      </w:pPr>
      <w:hyperlink r:id="rId104" w:history="1">
        <w:r w:rsidR="007C4A68" w:rsidRPr="007C4A68">
          <w:rPr>
            <w:rFonts w:ascii="Times New Roman" w:eastAsia="Times New Roman" w:hAnsi="Times New Roman" w:cs="Times New Roman"/>
            <w:color w:val="0000FF"/>
            <w:sz w:val="24"/>
            <w:szCs w:val="24"/>
            <w:u w:val="single"/>
          </w:rPr>
          <w:t>15 – Supreme Court Docket – June 30, 2015</w:t>
        </w:r>
      </w:hyperlink>
    </w:p>
    <w:p w:rsidR="007C4A68" w:rsidRPr="007C4A68" w:rsidRDefault="007C4A68" w:rsidP="007C4A68">
      <w:pPr>
        <w:spacing w:after="0"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 xml:space="preserve">Standard </w:t>
      </w:r>
    </w:p>
    <w:p w:rsidR="007C4A68" w:rsidRPr="007C4A68" w:rsidRDefault="006A45A0" w:rsidP="007C4A68">
      <w:pPr>
        <w:spacing w:after="0" w:line="240" w:lineRule="auto"/>
        <w:rPr>
          <w:rFonts w:ascii="Times New Roman" w:eastAsia="Times New Roman" w:hAnsi="Times New Roman" w:cs="Times New Roman"/>
          <w:sz w:val="24"/>
          <w:szCs w:val="24"/>
        </w:rPr>
      </w:pPr>
      <w:hyperlink r:id="rId105" w:history="1">
        <w:r w:rsidR="007C4A68" w:rsidRPr="007C4A68">
          <w:rPr>
            <w:rFonts w:ascii="Times New Roman" w:eastAsia="Times New Roman" w:hAnsi="Times New Roman" w:cs="Times New Roman"/>
            <w:color w:val="0000FF"/>
            <w:sz w:val="24"/>
            <w:szCs w:val="24"/>
            <w:u w:val="single"/>
          </w:rPr>
          <w:t>Create a free website or blog at WordPress.com</w:t>
        </w:r>
      </w:hyperlink>
      <w:r w:rsidR="007C4A68" w:rsidRPr="007C4A68">
        <w:rPr>
          <w:rFonts w:ascii="Times New Roman" w:eastAsia="Times New Roman" w:hAnsi="Times New Roman" w:cs="Times New Roman"/>
          <w:sz w:val="24"/>
          <w:szCs w:val="24"/>
        </w:rPr>
        <w:t xml:space="preserve">. | </w:t>
      </w:r>
      <w:hyperlink r:id="rId106" w:tooltip="Learn more about this theme" w:history="1">
        <w:r w:rsidR="007C4A68" w:rsidRPr="007C4A68">
          <w:rPr>
            <w:rFonts w:ascii="Times New Roman" w:eastAsia="Times New Roman" w:hAnsi="Times New Roman" w:cs="Times New Roman"/>
            <w:color w:val="0000FF"/>
            <w:sz w:val="24"/>
            <w:szCs w:val="24"/>
            <w:u w:val="single"/>
          </w:rPr>
          <w:t xml:space="preserve">The </w:t>
        </w:r>
        <w:proofErr w:type="spellStart"/>
        <w:r w:rsidR="007C4A68" w:rsidRPr="007C4A68">
          <w:rPr>
            <w:rFonts w:ascii="Times New Roman" w:eastAsia="Times New Roman" w:hAnsi="Times New Roman" w:cs="Times New Roman"/>
            <w:color w:val="0000FF"/>
            <w:sz w:val="24"/>
            <w:szCs w:val="24"/>
            <w:u w:val="single"/>
          </w:rPr>
          <w:t>Ryu</w:t>
        </w:r>
        <w:proofErr w:type="spellEnd"/>
        <w:r w:rsidR="007C4A68" w:rsidRPr="007C4A68">
          <w:rPr>
            <w:rFonts w:ascii="Times New Roman" w:eastAsia="Times New Roman" w:hAnsi="Times New Roman" w:cs="Times New Roman"/>
            <w:color w:val="0000FF"/>
            <w:sz w:val="24"/>
            <w:szCs w:val="24"/>
            <w:u w:val="single"/>
          </w:rPr>
          <w:t xml:space="preserve"> Theme</w:t>
        </w:r>
      </w:hyperlink>
      <w:r w:rsidR="007C4A68" w:rsidRPr="007C4A68">
        <w:rPr>
          <w:rFonts w:ascii="Times New Roman" w:eastAsia="Times New Roman" w:hAnsi="Times New Roman" w:cs="Times New Roman"/>
          <w:sz w:val="24"/>
          <w:szCs w:val="24"/>
        </w:rPr>
        <w:t xml:space="preserve">. </w:t>
      </w:r>
    </w:p>
    <w:p w:rsidR="007C4A68" w:rsidRPr="007C4A68" w:rsidRDefault="006A45A0" w:rsidP="007C4A68">
      <w:pPr>
        <w:spacing w:after="0" w:line="240" w:lineRule="auto"/>
        <w:rPr>
          <w:rFonts w:ascii="Times New Roman" w:eastAsia="Times New Roman" w:hAnsi="Times New Roman" w:cs="Times New Roman"/>
          <w:sz w:val="24"/>
          <w:szCs w:val="24"/>
        </w:rPr>
      </w:pPr>
      <w:hyperlink r:id="rId107" w:history="1">
        <w:r w:rsidR="007C4A68" w:rsidRPr="007C4A68">
          <w:rPr>
            <w:rFonts w:ascii="Times New Roman" w:eastAsia="Times New Roman" w:hAnsi="Times New Roman" w:cs="Times New Roman"/>
            <w:color w:val="0000FF"/>
            <w:sz w:val="24"/>
            <w:szCs w:val="24"/>
            <w:u w:val="single"/>
          </w:rPr>
          <w:t>Follow</w:t>
        </w:r>
      </w:hyperlink>
      <w:r w:rsidR="007C4A68" w:rsidRPr="007C4A68">
        <w:rPr>
          <w:rFonts w:ascii="Times New Roman" w:eastAsia="Times New Roman" w:hAnsi="Times New Roman" w:cs="Times New Roman"/>
          <w:sz w:val="24"/>
          <w:szCs w:val="24"/>
        </w:rPr>
        <w:t xml:space="preserve"> </w:t>
      </w:r>
    </w:p>
    <w:p w:rsidR="007C4A68" w:rsidRPr="007C4A68" w:rsidRDefault="007C4A68" w:rsidP="007C4A68">
      <w:pPr>
        <w:spacing w:before="100" w:beforeAutospacing="1" w:after="100" w:afterAutospacing="1" w:line="240" w:lineRule="auto"/>
        <w:outlineLvl w:val="2"/>
        <w:rPr>
          <w:rFonts w:ascii="Times New Roman" w:eastAsia="Times New Roman" w:hAnsi="Times New Roman" w:cs="Times New Roman"/>
          <w:b/>
          <w:bCs/>
          <w:sz w:val="27"/>
          <w:szCs w:val="27"/>
        </w:rPr>
      </w:pPr>
      <w:r w:rsidRPr="007C4A68">
        <w:rPr>
          <w:rFonts w:ascii="Times New Roman" w:eastAsia="Times New Roman" w:hAnsi="Times New Roman" w:cs="Times New Roman"/>
          <w:b/>
          <w:bCs/>
          <w:sz w:val="27"/>
          <w:szCs w:val="27"/>
        </w:rPr>
        <w:t>Follow “</w:t>
      </w:r>
      <w:proofErr w:type="spellStart"/>
      <w:r w:rsidRPr="007C4A68">
        <w:rPr>
          <w:rFonts w:ascii="Times New Roman" w:eastAsia="Times New Roman" w:hAnsi="Times New Roman" w:cs="Times New Roman"/>
          <w:b/>
          <w:bCs/>
          <w:sz w:val="27"/>
          <w:szCs w:val="27"/>
        </w:rPr>
        <w:t>supremecourtcase</w:t>
      </w:r>
      <w:proofErr w:type="spellEnd"/>
      <w:r w:rsidRPr="007C4A68">
        <w:rPr>
          <w:rFonts w:ascii="Times New Roman" w:eastAsia="Times New Roman" w:hAnsi="Times New Roman" w:cs="Times New Roman"/>
          <w:b/>
          <w:bCs/>
          <w:sz w:val="27"/>
          <w:szCs w:val="27"/>
        </w:rPr>
        <w:t>”</w:t>
      </w:r>
    </w:p>
    <w:p w:rsidR="007C4A68" w:rsidRPr="007C4A68" w:rsidRDefault="007C4A68" w:rsidP="007C4A68">
      <w:pPr>
        <w:pBdr>
          <w:bottom w:val="single" w:sz="6" w:space="1" w:color="auto"/>
        </w:pBdr>
        <w:spacing w:after="0" w:line="240" w:lineRule="auto"/>
        <w:jc w:val="center"/>
        <w:rPr>
          <w:rFonts w:ascii="Arial" w:eastAsia="Times New Roman" w:hAnsi="Arial" w:cs="Arial"/>
          <w:vanish/>
          <w:sz w:val="16"/>
          <w:szCs w:val="16"/>
        </w:rPr>
      </w:pPr>
      <w:r w:rsidRPr="007C4A68">
        <w:rPr>
          <w:rFonts w:ascii="Arial" w:eastAsia="Times New Roman" w:hAnsi="Arial" w:cs="Arial"/>
          <w:vanish/>
          <w:sz w:val="16"/>
          <w:szCs w:val="16"/>
        </w:rPr>
        <w:t>Top of Form</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Get every new post delivered to your Inbox.</w:t>
      </w:r>
    </w:p>
    <w:p w:rsidR="007C4A68" w:rsidRPr="007C4A68" w:rsidRDefault="007C4A68" w:rsidP="007C4A68">
      <w:pPr>
        <w:spacing w:before="100" w:beforeAutospacing="1" w:after="100" w:afterAutospacing="1" w:line="240" w:lineRule="auto"/>
        <w:rPr>
          <w:rFonts w:ascii="Times New Roman" w:eastAsia="Times New Roman" w:hAnsi="Times New Roman" w:cs="Times New Roman"/>
          <w:sz w:val="24"/>
          <w:szCs w:val="24"/>
        </w:rPr>
      </w:pPr>
      <w:r w:rsidRPr="007C4A68">
        <w:rPr>
          <w:rFonts w:ascii="Times New Roman" w:eastAsia="Times New Roman" w:hAnsi="Times New Roman" w:cs="Times New Roman"/>
          <w:sz w:val="24"/>
          <w:szCs w:val="24"/>
        </w:rPr>
        <w:t>Join 110 other followers</w:t>
      </w:r>
    </w:p>
    <w:p w:rsidR="007C4A68" w:rsidRPr="007C4A68" w:rsidRDefault="007C4A68" w:rsidP="007C4A68">
      <w:pPr>
        <w:pBdr>
          <w:top w:val="single" w:sz="6" w:space="1" w:color="auto"/>
        </w:pBdr>
        <w:spacing w:after="0" w:line="240" w:lineRule="auto"/>
        <w:jc w:val="center"/>
        <w:rPr>
          <w:rFonts w:ascii="Arial" w:eastAsia="Times New Roman" w:hAnsi="Arial" w:cs="Arial"/>
          <w:vanish/>
          <w:sz w:val="16"/>
          <w:szCs w:val="16"/>
        </w:rPr>
      </w:pPr>
      <w:r w:rsidRPr="007C4A68">
        <w:rPr>
          <w:rFonts w:ascii="Arial" w:eastAsia="Times New Roman" w:hAnsi="Arial" w:cs="Arial"/>
          <w:vanish/>
          <w:sz w:val="16"/>
          <w:szCs w:val="16"/>
        </w:rPr>
        <w:t>Bottom of Form</w:t>
      </w:r>
    </w:p>
    <w:p w:rsidR="007C4A68" w:rsidRPr="007C4A68" w:rsidRDefault="007C4A68" w:rsidP="007C4A68">
      <w:pPr>
        <w:pBdr>
          <w:bottom w:val="single" w:sz="6" w:space="1" w:color="auto"/>
        </w:pBdr>
        <w:spacing w:after="0" w:line="240" w:lineRule="auto"/>
        <w:jc w:val="center"/>
        <w:rPr>
          <w:rFonts w:ascii="Arial" w:eastAsia="Times New Roman" w:hAnsi="Arial" w:cs="Arial"/>
          <w:vanish/>
          <w:sz w:val="16"/>
          <w:szCs w:val="16"/>
        </w:rPr>
      </w:pPr>
      <w:r w:rsidRPr="007C4A68">
        <w:rPr>
          <w:rFonts w:ascii="Arial" w:eastAsia="Times New Roman" w:hAnsi="Arial" w:cs="Arial"/>
          <w:vanish/>
          <w:sz w:val="16"/>
          <w:szCs w:val="16"/>
        </w:rPr>
        <w:t>Top of Form</w:t>
      </w:r>
    </w:p>
    <w:p w:rsidR="007C4A68" w:rsidRPr="007C4A68" w:rsidRDefault="007C4A68" w:rsidP="007C4A68">
      <w:pPr>
        <w:pBdr>
          <w:top w:val="single" w:sz="6" w:space="1" w:color="auto"/>
        </w:pBdr>
        <w:spacing w:after="0" w:line="240" w:lineRule="auto"/>
        <w:jc w:val="center"/>
        <w:rPr>
          <w:rFonts w:ascii="Arial" w:eastAsia="Times New Roman" w:hAnsi="Arial" w:cs="Arial"/>
          <w:vanish/>
          <w:sz w:val="16"/>
          <w:szCs w:val="16"/>
        </w:rPr>
      </w:pPr>
      <w:r w:rsidRPr="007C4A68">
        <w:rPr>
          <w:rFonts w:ascii="Arial" w:eastAsia="Times New Roman" w:hAnsi="Arial" w:cs="Arial"/>
          <w:vanish/>
          <w:sz w:val="16"/>
          <w:szCs w:val="16"/>
        </w:rPr>
        <w:t>Bottom of Form</w:t>
      </w:r>
    </w:p>
    <w:p w:rsidR="007C4A68" w:rsidRPr="007C4A68" w:rsidRDefault="006A45A0" w:rsidP="007C4A68">
      <w:pPr>
        <w:spacing w:after="0" w:line="240" w:lineRule="auto"/>
        <w:rPr>
          <w:rFonts w:ascii="Times New Roman" w:eastAsia="Times New Roman" w:hAnsi="Times New Roman" w:cs="Times New Roman"/>
          <w:sz w:val="24"/>
          <w:szCs w:val="24"/>
        </w:rPr>
      </w:pPr>
      <w:hyperlink r:id="rId108" w:history="1">
        <w:r w:rsidR="007C4A68" w:rsidRPr="007C4A68">
          <w:rPr>
            <w:rFonts w:ascii="Times New Roman" w:eastAsia="Times New Roman" w:hAnsi="Times New Roman" w:cs="Times New Roman"/>
            <w:color w:val="0000FF"/>
            <w:sz w:val="24"/>
            <w:szCs w:val="24"/>
            <w:u w:val="single"/>
          </w:rPr>
          <w:t>Build a website with WordPress.com</w:t>
        </w:r>
      </w:hyperlink>
    </w:p>
    <w:p w:rsidR="00822C5A" w:rsidRDefault="00822C5A" w:rsidP="007C4A68">
      <w:pPr>
        <w:rPr>
          <w:rFonts w:ascii="Times New Roman" w:eastAsia="Times New Roman" w:hAnsi="Times New Roman" w:cs="Times New Roman"/>
          <w:noProof/>
          <w:sz w:val="24"/>
          <w:szCs w:val="24"/>
        </w:rPr>
      </w:pPr>
    </w:p>
    <w:p w:rsidR="007C4A68" w:rsidRDefault="007C4A68" w:rsidP="007C4A68">
      <w:r>
        <w:rPr>
          <w:rFonts w:ascii="Times New Roman" w:eastAsia="Times New Roman" w:hAnsi="Times New Roman" w:cs="Times New Roman"/>
          <w:noProof/>
          <w:sz w:val="24"/>
          <w:szCs w:val="24"/>
        </w:rPr>
        <w:t>===========================================================================================================</w:t>
      </w:r>
    </w:p>
    <w:sectPr w:rsidR="007C4A68" w:rsidSect="00822C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09DF"/>
    <w:multiLevelType w:val="multilevel"/>
    <w:tmpl w:val="7600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21B3E"/>
    <w:multiLevelType w:val="multilevel"/>
    <w:tmpl w:val="8158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34F1F"/>
    <w:multiLevelType w:val="multilevel"/>
    <w:tmpl w:val="615A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90B1B"/>
    <w:multiLevelType w:val="multilevel"/>
    <w:tmpl w:val="6070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0B3F59"/>
    <w:multiLevelType w:val="multilevel"/>
    <w:tmpl w:val="F582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EE307B"/>
    <w:multiLevelType w:val="multilevel"/>
    <w:tmpl w:val="558A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E07B5D"/>
    <w:multiLevelType w:val="multilevel"/>
    <w:tmpl w:val="F618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A86D83"/>
    <w:multiLevelType w:val="multilevel"/>
    <w:tmpl w:val="F55C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967783"/>
    <w:multiLevelType w:val="multilevel"/>
    <w:tmpl w:val="3B4AE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BA73E7"/>
    <w:multiLevelType w:val="multilevel"/>
    <w:tmpl w:val="7792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71329B"/>
    <w:multiLevelType w:val="multilevel"/>
    <w:tmpl w:val="5D3A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2"/>
  </w:num>
  <w:num w:numId="5">
    <w:abstractNumId w:val="3"/>
  </w:num>
  <w:num w:numId="6">
    <w:abstractNumId w:val="7"/>
  </w:num>
  <w:num w:numId="7">
    <w:abstractNumId w:val="5"/>
  </w:num>
  <w:num w:numId="8">
    <w:abstractNumId w:val="4"/>
  </w:num>
  <w:num w:numId="9">
    <w:abstractNumId w:val="9"/>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defaultTabStop w:val="720"/>
  <w:characterSpacingControl w:val="doNotCompress"/>
  <w:compat/>
  <w:rsids>
    <w:rsidRoot w:val="007C4A68"/>
    <w:rsid w:val="006A45A0"/>
    <w:rsid w:val="007C4A68"/>
    <w:rsid w:val="00822C5A"/>
    <w:rsid w:val="00A15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C5A"/>
  </w:style>
  <w:style w:type="paragraph" w:styleId="Heading1">
    <w:name w:val="heading 1"/>
    <w:basedOn w:val="Normal"/>
    <w:link w:val="Heading1Char"/>
    <w:uiPriority w:val="9"/>
    <w:qFormat/>
    <w:rsid w:val="007C4A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C4A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C4A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A6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C4A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C4A6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C4A68"/>
    <w:rPr>
      <w:color w:val="0000FF"/>
      <w:u w:val="single"/>
    </w:rPr>
  </w:style>
  <w:style w:type="character" w:styleId="FollowedHyperlink">
    <w:name w:val="FollowedHyperlink"/>
    <w:basedOn w:val="DefaultParagraphFont"/>
    <w:uiPriority w:val="99"/>
    <w:semiHidden/>
    <w:unhideWhenUsed/>
    <w:rsid w:val="007C4A68"/>
    <w:rPr>
      <w:color w:val="800080"/>
      <w:u w:val="single"/>
    </w:rPr>
  </w:style>
  <w:style w:type="character" w:customStyle="1" w:styleId="screen-reader-text">
    <w:name w:val="screen-reader-text"/>
    <w:basedOn w:val="DefaultParagraphFont"/>
    <w:rsid w:val="007C4A68"/>
  </w:style>
  <w:style w:type="character" w:customStyle="1" w:styleId="entry-date">
    <w:name w:val="entry-date"/>
    <w:basedOn w:val="DefaultParagraphFont"/>
    <w:rsid w:val="007C4A68"/>
  </w:style>
  <w:style w:type="character" w:customStyle="1" w:styleId="author">
    <w:name w:val="author"/>
    <w:basedOn w:val="DefaultParagraphFont"/>
    <w:rsid w:val="007C4A68"/>
  </w:style>
  <w:style w:type="character" w:customStyle="1" w:styleId="comments-link">
    <w:name w:val="comments-link"/>
    <w:basedOn w:val="DefaultParagraphFont"/>
    <w:rsid w:val="007C4A68"/>
  </w:style>
  <w:style w:type="paragraph" w:styleId="NormalWeb">
    <w:name w:val="Normal (Web)"/>
    <w:basedOn w:val="Normal"/>
    <w:uiPriority w:val="99"/>
    <w:semiHidden/>
    <w:unhideWhenUsed/>
    <w:rsid w:val="007C4A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4A68"/>
    <w:rPr>
      <w:b/>
      <w:bCs/>
    </w:rPr>
  </w:style>
  <w:style w:type="character" w:styleId="Emphasis">
    <w:name w:val="Emphasis"/>
    <w:basedOn w:val="DefaultParagraphFont"/>
    <w:uiPriority w:val="20"/>
    <w:qFormat/>
    <w:rsid w:val="007C4A68"/>
    <w:rPr>
      <w:i/>
      <w:iCs/>
    </w:rPr>
  </w:style>
  <w:style w:type="character" w:customStyle="1" w:styleId="entry-format-badge">
    <w:name w:val="entry-format-badge"/>
    <w:basedOn w:val="DefaultParagraphFont"/>
    <w:rsid w:val="007C4A68"/>
  </w:style>
  <w:style w:type="character" w:customStyle="1" w:styleId="skimlinks-unlinked">
    <w:name w:val="skimlinks-unlinked"/>
    <w:basedOn w:val="DefaultParagraphFont"/>
    <w:rsid w:val="007C4A68"/>
  </w:style>
  <w:style w:type="character" w:customStyle="1" w:styleId="sep">
    <w:name w:val="sep"/>
    <w:basedOn w:val="DefaultParagraphFont"/>
    <w:rsid w:val="007C4A68"/>
  </w:style>
  <w:style w:type="paragraph" w:styleId="z-TopofForm">
    <w:name w:val="HTML Top of Form"/>
    <w:basedOn w:val="Normal"/>
    <w:next w:val="Normal"/>
    <w:link w:val="z-TopofFormChar"/>
    <w:hidden/>
    <w:uiPriority w:val="99"/>
    <w:semiHidden/>
    <w:unhideWhenUsed/>
    <w:rsid w:val="007C4A6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C4A68"/>
    <w:rPr>
      <w:rFonts w:ascii="Arial" w:eastAsia="Times New Roman" w:hAnsi="Arial" w:cs="Arial"/>
      <w:vanish/>
      <w:sz w:val="16"/>
      <w:szCs w:val="16"/>
    </w:rPr>
  </w:style>
  <w:style w:type="paragraph" w:customStyle="1" w:styleId="bit-follow-count">
    <w:name w:val="bit-follow-count"/>
    <w:basedOn w:val="Normal"/>
    <w:rsid w:val="007C4A68"/>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7C4A6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C4A68"/>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C4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A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5153042">
      <w:bodyDiv w:val="1"/>
      <w:marLeft w:val="0"/>
      <w:marRight w:val="0"/>
      <w:marTop w:val="0"/>
      <w:marBottom w:val="0"/>
      <w:divBdr>
        <w:top w:val="none" w:sz="0" w:space="0" w:color="auto"/>
        <w:left w:val="none" w:sz="0" w:space="0" w:color="auto"/>
        <w:bottom w:val="none" w:sz="0" w:space="0" w:color="auto"/>
        <w:right w:val="none" w:sz="0" w:space="0" w:color="auto"/>
      </w:divBdr>
      <w:divsChild>
        <w:div w:id="935672853">
          <w:marLeft w:val="0"/>
          <w:marRight w:val="0"/>
          <w:marTop w:val="0"/>
          <w:marBottom w:val="0"/>
          <w:divBdr>
            <w:top w:val="none" w:sz="0" w:space="0" w:color="auto"/>
            <w:left w:val="none" w:sz="0" w:space="0" w:color="auto"/>
            <w:bottom w:val="none" w:sz="0" w:space="0" w:color="auto"/>
            <w:right w:val="none" w:sz="0" w:space="0" w:color="auto"/>
          </w:divBdr>
          <w:divsChild>
            <w:div w:id="661157878">
              <w:marLeft w:val="0"/>
              <w:marRight w:val="0"/>
              <w:marTop w:val="0"/>
              <w:marBottom w:val="0"/>
              <w:divBdr>
                <w:top w:val="none" w:sz="0" w:space="0" w:color="auto"/>
                <w:left w:val="none" w:sz="0" w:space="0" w:color="auto"/>
                <w:bottom w:val="none" w:sz="0" w:space="0" w:color="auto"/>
                <w:right w:val="none" w:sz="0" w:space="0" w:color="auto"/>
              </w:divBdr>
            </w:div>
            <w:div w:id="900562281">
              <w:marLeft w:val="0"/>
              <w:marRight w:val="0"/>
              <w:marTop w:val="0"/>
              <w:marBottom w:val="0"/>
              <w:divBdr>
                <w:top w:val="none" w:sz="0" w:space="0" w:color="auto"/>
                <w:left w:val="none" w:sz="0" w:space="0" w:color="auto"/>
                <w:bottom w:val="none" w:sz="0" w:space="0" w:color="auto"/>
                <w:right w:val="none" w:sz="0" w:space="0" w:color="auto"/>
              </w:divBdr>
            </w:div>
            <w:div w:id="279462677">
              <w:marLeft w:val="0"/>
              <w:marRight w:val="0"/>
              <w:marTop w:val="0"/>
              <w:marBottom w:val="0"/>
              <w:divBdr>
                <w:top w:val="none" w:sz="0" w:space="0" w:color="auto"/>
                <w:left w:val="none" w:sz="0" w:space="0" w:color="auto"/>
                <w:bottom w:val="none" w:sz="0" w:space="0" w:color="auto"/>
                <w:right w:val="none" w:sz="0" w:space="0" w:color="auto"/>
              </w:divBdr>
              <w:divsChild>
                <w:div w:id="1277248313">
                  <w:marLeft w:val="0"/>
                  <w:marRight w:val="0"/>
                  <w:marTop w:val="0"/>
                  <w:marBottom w:val="0"/>
                  <w:divBdr>
                    <w:top w:val="none" w:sz="0" w:space="0" w:color="auto"/>
                    <w:left w:val="none" w:sz="0" w:space="0" w:color="auto"/>
                    <w:bottom w:val="none" w:sz="0" w:space="0" w:color="auto"/>
                    <w:right w:val="none" w:sz="0" w:space="0" w:color="auto"/>
                  </w:divBdr>
                  <w:divsChild>
                    <w:div w:id="662701765">
                      <w:marLeft w:val="0"/>
                      <w:marRight w:val="0"/>
                      <w:marTop w:val="0"/>
                      <w:marBottom w:val="0"/>
                      <w:divBdr>
                        <w:top w:val="none" w:sz="0" w:space="0" w:color="auto"/>
                        <w:left w:val="none" w:sz="0" w:space="0" w:color="auto"/>
                        <w:bottom w:val="none" w:sz="0" w:space="0" w:color="auto"/>
                        <w:right w:val="none" w:sz="0" w:space="0" w:color="auto"/>
                      </w:divBdr>
                      <w:divsChild>
                        <w:div w:id="259728129">
                          <w:marLeft w:val="0"/>
                          <w:marRight w:val="0"/>
                          <w:marTop w:val="0"/>
                          <w:marBottom w:val="0"/>
                          <w:divBdr>
                            <w:top w:val="none" w:sz="0" w:space="0" w:color="auto"/>
                            <w:left w:val="none" w:sz="0" w:space="0" w:color="auto"/>
                            <w:bottom w:val="none" w:sz="0" w:space="0" w:color="auto"/>
                            <w:right w:val="none" w:sz="0" w:space="0" w:color="auto"/>
                          </w:divBdr>
                          <w:divsChild>
                            <w:div w:id="1077046940">
                              <w:marLeft w:val="0"/>
                              <w:marRight w:val="0"/>
                              <w:marTop w:val="0"/>
                              <w:marBottom w:val="0"/>
                              <w:divBdr>
                                <w:top w:val="none" w:sz="0" w:space="0" w:color="auto"/>
                                <w:left w:val="none" w:sz="0" w:space="0" w:color="auto"/>
                                <w:bottom w:val="none" w:sz="0" w:space="0" w:color="auto"/>
                                <w:right w:val="none" w:sz="0" w:space="0" w:color="auto"/>
                              </w:divBdr>
                            </w:div>
                          </w:divsChild>
                        </w:div>
                        <w:div w:id="579368718">
                          <w:marLeft w:val="0"/>
                          <w:marRight w:val="0"/>
                          <w:marTop w:val="0"/>
                          <w:marBottom w:val="0"/>
                          <w:divBdr>
                            <w:top w:val="none" w:sz="0" w:space="0" w:color="auto"/>
                            <w:left w:val="none" w:sz="0" w:space="0" w:color="auto"/>
                            <w:bottom w:val="none" w:sz="0" w:space="0" w:color="auto"/>
                            <w:right w:val="none" w:sz="0" w:space="0" w:color="auto"/>
                          </w:divBdr>
                          <w:divsChild>
                            <w:div w:id="1945728286">
                              <w:marLeft w:val="0"/>
                              <w:marRight w:val="0"/>
                              <w:marTop w:val="0"/>
                              <w:marBottom w:val="0"/>
                              <w:divBdr>
                                <w:top w:val="none" w:sz="0" w:space="0" w:color="auto"/>
                                <w:left w:val="none" w:sz="0" w:space="0" w:color="auto"/>
                                <w:bottom w:val="none" w:sz="0" w:space="0" w:color="auto"/>
                                <w:right w:val="none" w:sz="0" w:space="0" w:color="auto"/>
                              </w:divBdr>
                            </w:div>
                          </w:divsChild>
                        </w:div>
                        <w:div w:id="587616415">
                          <w:marLeft w:val="0"/>
                          <w:marRight w:val="0"/>
                          <w:marTop w:val="0"/>
                          <w:marBottom w:val="0"/>
                          <w:divBdr>
                            <w:top w:val="none" w:sz="0" w:space="0" w:color="auto"/>
                            <w:left w:val="none" w:sz="0" w:space="0" w:color="auto"/>
                            <w:bottom w:val="none" w:sz="0" w:space="0" w:color="auto"/>
                            <w:right w:val="none" w:sz="0" w:space="0" w:color="auto"/>
                          </w:divBdr>
                          <w:divsChild>
                            <w:div w:id="155075329">
                              <w:marLeft w:val="0"/>
                              <w:marRight w:val="0"/>
                              <w:marTop w:val="0"/>
                              <w:marBottom w:val="0"/>
                              <w:divBdr>
                                <w:top w:val="none" w:sz="0" w:space="0" w:color="auto"/>
                                <w:left w:val="none" w:sz="0" w:space="0" w:color="auto"/>
                                <w:bottom w:val="none" w:sz="0" w:space="0" w:color="auto"/>
                                <w:right w:val="none" w:sz="0" w:space="0" w:color="auto"/>
                              </w:divBdr>
                            </w:div>
                          </w:divsChild>
                        </w:div>
                        <w:div w:id="1987664523">
                          <w:marLeft w:val="0"/>
                          <w:marRight w:val="0"/>
                          <w:marTop w:val="0"/>
                          <w:marBottom w:val="0"/>
                          <w:divBdr>
                            <w:top w:val="none" w:sz="0" w:space="0" w:color="auto"/>
                            <w:left w:val="none" w:sz="0" w:space="0" w:color="auto"/>
                            <w:bottom w:val="none" w:sz="0" w:space="0" w:color="auto"/>
                            <w:right w:val="none" w:sz="0" w:space="0" w:color="auto"/>
                          </w:divBdr>
                          <w:divsChild>
                            <w:div w:id="1942300097">
                              <w:marLeft w:val="0"/>
                              <w:marRight w:val="0"/>
                              <w:marTop w:val="0"/>
                              <w:marBottom w:val="0"/>
                              <w:divBdr>
                                <w:top w:val="none" w:sz="0" w:space="0" w:color="auto"/>
                                <w:left w:val="none" w:sz="0" w:space="0" w:color="auto"/>
                                <w:bottom w:val="none" w:sz="0" w:space="0" w:color="auto"/>
                                <w:right w:val="none" w:sz="0" w:space="0" w:color="auto"/>
                              </w:divBdr>
                            </w:div>
                          </w:divsChild>
                        </w:div>
                        <w:div w:id="2825137">
                          <w:marLeft w:val="0"/>
                          <w:marRight w:val="0"/>
                          <w:marTop w:val="0"/>
                          <w:marBottom w:val="0"/>
                          <w:divBdr>
                            <w:top w:val="none" w:sz="0" w:space="0" w:color="auto"/>
                            <w:left w:val="none" w:sz="0" w:space="0" w:color="auto"/>
                            <w:bottom w:val="none" w:sz="0" w:space="0" w:color="auto"/>
                            <w:right w:val="none" w:sz="0" w:space="0" w:color="auto"/>
                          </w:divBdr>
                          <w:divsChild>
                            <w:div w:id="955529293">
                              <w:marLeft w:val="0"/>
                              <w:marRight w:val="0"/>
                              <w:marTop w:val="0"/>
                              <w:marBottom w:val="0"/>
                              <w:divBdr>
                                <w:top w:val="none" w:sz="0" w:space="0" w:color="auto"/>
                                <w:left w:val="none" w:sz="0" w:space="0" w:color="auto"/>
                                <w:bottom w:val="none" w:sz="0" w:space="0" w:color="auto"/>
                                <w:right w:val="none" w:sz="0" w:space="0" w:color="auto"/>
                              </w:divBdr>
                            </w:div>
                          </w:divsChild>
                        </w:div>
                        <w:div w:id="1047878293">
                          <w:marLeft w:val="0"/>
                          <w:marRight w:val="0"/>
                          <w:marTop w:val="0"/>
                          <w:marBottom w:val="0"/>
                          <w:divBdr>
                            <w:top w:val="none" w:sz="0" w:space="0" w:color="auto"/>
                            <w:left w:val="none" w:sz="0" w:space="0" w:color="auto"/>
                            <w:bottom w:val="none" w:sz="0" w:space="0" w:color="auto"/>
                            <w:right w:val="none" w:sz="0" w:space="0" w:color="auto"/>
                          </w:divBdr>
                          <w:divsChild>
                            <w:div w:id="98721296">
                              <w:marLeft w:val="0"/>
                              <w:marRight w:val="0"/>
                              <w:marTop w:val="0"/>
                              <w:marBottom w:val="0"/>
                              <w:divBdr>
                                <w:top w:val="none" w:sz="0" w:space="0" w:color="auto"/>
                                <w:left w:val="none" w:sz="0" w:space="0" w:color="auto"/>
                                <w:bottom w:val="none" w:sz="0" w:space="0" w:color="auto"/>
                                <w:right w:val="none" w:sz="0" w:space="0" w:color="auto"/>
                              </w:divBdr>
                              <w:divsChild>
                                <w:div w:id="1409302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001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55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4724657">
                          <w:marLeft w:val="0"/>
                          <w:marRight w:val="0"/>
                          <w:marTop w:val="0"/>
                          <w:marBottom w:val="0"/>
                          <w:divBdr>
                            <w:top w:val="none" w:sz="0" w:space="0" w:color="auto"/>
                            <w:left w:val="none" w:sz="0" w:space="0" w:color="auto"/>
                            <w:bottom w:val="none" w:sz="0" w:space="0" w:color="auto"/>
                            <w:right w:val="none" w:sz="0" w:space="0" w:color="auto"/>
                          </w:divBdr>
                          <w:divsChild>
                            <w:div w:id="1874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66897">
              <w:marLeft w:val="0"/>
              <w:marRight w:val="0"/>
              <w:marTop w:val="0"/>
              <w:marBottom w:val="0"/>
              <w:divBdr>
                <w:top w:val="none" w:sz="0" w:space="0" w:color="auto"/>
                <w:left w:val="none" w:sz="0" w:space="0" w:color="auto"/>
                <w:bottom w:val="none" w:sz="0" w:space="0" w:color="auto"/>
                <w:right w:val="none" w:sz="0" w:space="0" w:color="auto"/>
              </w:divBdr>
            </w:div>
          </w:divsChild>
        </w:div>
        <w:div w:id="1448740234">
          <w:marLeft w:val="0"/>
          <w:marRight w:val="0"/>
          <w:marTop w:val="0"/>
          <w:marBottom w:val="0"/>
          <w:divBdr>
            <w:top w:val="none" w:sz="0" w:space="0" w:color="auto"/>
            <w:left w:val="none" w:sz="0" w:space="0" w:color="auto"/>
            <w:bottom w:val="none" w:sz="0" w:space="0" w:color="auto"/>
            <w:right w:val="none" w:sz="0" w:space="0" w:color="auto"/>
          </w:divBdr>
          <w:divsChild>
            <w:div w:id="487945456">
              <w:marLeft w:val="0"/>
              <w:marRight w:val="0"/>
              <w:marTop w:val="0"/>
              <w:marBottom w:val="0"/>
              <w:divBdr>
                <w:top w:val="none" w:sz="0" w:space="0" w:color="auto"/>
                <w:left w:val="none" w:sz="0" w:space="0" w:color="auto"/>
                <w:bottom w:val="none" w:sz="0" w:space="0" w:color="auto"/>
                <w:right w:val="none" w:sz="0" w:space="0" w:color="auto"/>
              </w:divBdr>
            </w:div>
          </w:divsChild>
        </w:div>
        <w:div w:id="177545154">
          <w:marLeft w:val="0"/>
          <w:marRight w:val="0"/>
          <w:marTop w:val="0"/>
          <w:marBottom w:val="0"/>
          <w:divBdr>
            <w:top w:val="none" w:sz="0" w:space="0" w:color="auto"/>
            <w:left w:val="none" w:sz="0" w:space="0" w:color="auto"/>
            <w:bottom w:val="none" w:sz="0" w:space="0" w:color="auto"/>
            <w:right w:val="none" w:sz="0" w:space="0" w:color="auto"/>
          </w:divBdr>
          <w:divsChild>
            <w:div w:id="170222322">
              <w:marLeft w:val="0"/>
              <w:marRight w:val="0"/>
              <w:marTop w:val="0"/>
              <w:marBottom w:val="0"/>
              <w:divBdr>
                <w:top w:val="none" w:sz="0" w:space="0" w:color="auto"/>
                <w:left w:val="none" w:sz="0" w:space="0" w:color="auto"/>
                <w:bottom w:val="none" w:sz="0" w:space="0" w:color="auto"/>
                <w:right w:val="none" w:sz="0" w:space="0" w:color="auto"/>
              </w:divBdr>
              <w:divsChild>
                <w:div w:id="725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upremecourtcase.files.wordpress.com/2015/11/3a-lufkin-division-record.pdf" TargetMode="External"/><Relationship Id="rId21" Type="http://schemas.openxmlformats.org/officeDocument/2006/relationships/hyperlink" Target="https://supremecourtcase.files.wordpress.com/2015/11/0-order-governing-proceedings-lufkin.pdf" TargetMode="External"/><Relationship Id="rId42" Type="http://schemas.openxmlformats.org/officeDocument/2006/relationships/hyperlink" Target="https://supremecourtcase.wordpress.com/" TargetMode="External"/><Relationship Id="rId47" Type="http://schemas.openxmlformats.org/officeDocument/2006/relationships/hyperlink" Target="https://supremecourtcase.wordpress.com/" TargetMode="External"/><Relationship Id="rId63" Type="http://schemas.openxmlformats.org/officeDocument/2006/relationships/hyperlink" Target="https://supremecourtcase.wordpress.com/" TargetMode="External"/><Relationship Id="rId68" Type="http://schemas.openxmlformats.org/officeDocument/2006/relationships/hyperlink" Target="https://supremecourtcase.wordpress.com/" TargetMode="External"/><Relationship Id="rId84" Type="http://schemas.openxmlformats.org/officeDocument/2006/relationships/hyperlink" Target="https://supremecourtcase.wordpress.com/" TargetMode="External"/><Relationship Id="rId89" Type="http://schemas.openxmlformats.org/officeDocument/2006/relationships/hyperlink" Target="https://supremecourtcase.wordpress.com/" TargetMode="External"/><Relationship Id="rId2" Type="http://schemas.openxmlformats.org/officeDocument/2006/relationships/styles" Target="styles.xml"/><Relationship Id="rId16" Type="http://schemas.openxmlformats.org/officeDocument/2006/relationships/hyperlink" Target="https://supremecourtcase.files.wordpress.com/2015/11/2a-houston-division-record.pdf" TargetMode="External"/><Relationship Id="rId29" Type="http://schemas.openxmlformats.org/officeDocument/2006/relationships/hyperlink" Target="https://supremecourtcase.wordpress.com/2015/10/28/sister-federal-tax-case-judge-and-doj-attorneys-abandon-case-midstream-refuse-to-participate-any-further/" TargetMode="External"/><Relationship Id="rId107" Type="http://schemas.openxmlformats.org/officeDocument/2006/relationships/hyperlink" Target="javascript:void(0)" TargetMode="External"/><Relationship Id="rId11" Type="http://schemas.openxmlformats.org/officeDocument/2006/relationships/hyperlink" Target="https://www.law.cornell.edu/cfr/text/26/1.871-4" TargetMode="External"/><Relationship Id="rId24" Type="http://schemas.openxmlformats.org/officeDocument/2006/relationships/hyperlink" Target="http://www.gpo.gov/fdsys/pkg/CDOC-110hdoc50/pdf/CDOC-110hdoc50.pdf" TargetMode="External"/><Relationship Id="rId32" Type="http://schemas.openxmlformats.org/officeDocument/2006/relationships/hyperlink" Target="https://supremecourtcase.files.wordpress.com/2015/10/filed-dkt-58-objection-and-demand-091415.pdf" TargetMode="External"/><Relationship Id="rId37" Type="http://schemas.openxmlformats.org/officeDocument/2006/relationships/hyperlink" Target="https://supremecourtcase.wordpress.com/2015/10/01/sister-case-petitioner-demands-the-courts-constitutional-authority-plaintiff-and-court-go-silent-petitioner-demands-immediate-dismissal-and-costs-restitution-and-damages-of-1841451-45/" TargetMode="External"/><Relationship Id="rId40" Type="http://schemas.openxmlformats.org/officeDocument/2006/relationships/hyperlink" Target="https://supremecourtcase.wordpress.com/2015/10/01/sister-case-petitioner-demands-the-courts-constitutional-authority-plaintiff-and-court-go-silent-petitioner-demands-immediate-dismissal-and-costs-restitution-and-damages-of-1841451-45/" TargetMode="External"/><Relationship Id="rId45" Type="http://schemas.openxmlformats.org/officeDocument/2006/relationships/hyperlink" Target="https://supremecourtcase.files.wordpress.com/2015/10/demand-for-dismissal-filed-093015.pdf" TargetMode="External"/><Relationship Id="rId53" Type="http://schemas.openxmlformats.org/officeDocument/2006/relationships/hyperlink" Target="https://supremecourtcase.files.wordpress.com/2015/07/13-petition-for-rehearing-filed-june-30-2015.pdf" TargetMode="External"/><Relationship Id="rId58" Type="http://schemas.openxmlformats.org/officeDocument/2006/relationships/hyperlink" Target="http://www.leagle.com/cite/502%20F.2d%20834" TargetMode="External"/><Relationship Id="rId66" Type="http://schemas.openxmlformats.org/officeDocument/2006/relationships/hyperlink" Target="https://supremecourtcase.wordpress.com/author/supremecourtcase/" TargetMode="External"/><Relationship Id="rId74" Type="http://schemas.openxmlformats.org/officeDocument/2006/relationships/hyperlink" Target="https://supremecourtcase.files.wordpress.com/2015/08/memorandum-of-law-revised-081415-website-signed.pdf" TargetMode="External"/><Relationship Id="rId79" Type="http://schemas.openxmlformats.org/officeDocument/2006/relationships/hyperlink" Target="https://supremecourtcase.wordpress.com/author/supremecourtcase/" TargetMode="External"/><Relationship Id="rId87" Type="http://schemas.openxmlformats.org/officeDocument/2006/relationships/hyperlink" Target="https://supremecourtcase.wordpress.com/" TargetMode="External"/><Relationship Id="rId102" Type="http://schemas.openxmlformats.org/officeDocument/2006/relationships/hyperlink" Target="https://supremecourtcase.files.wordpress.com/2015/07/13-petition-for-rehearing-filed-june-30-2015.pdf" TargetMode="External"/><Relationship Id="rId110" Type="http://schemas.openxmlformats.org/officeDocument/2006/relationships/theme" Target="theme/theme1.xml"/><Relationship Id="rId5" Type="http://schemas.openxmlformats.org/officeDocument/2006/relationships/hyperlink" Target="https://supremecourtcase.wordpress.com/2015/11/05/docket-and-record-houston-and-lufkin-division-federal-tax-cases-2/" TargetMode="External"/><Relationship Id="rId61" Type="http://schemas.openxmlformats.org/officeDocument/2006/relationships/hyperlink" Target="https://supremecourtcase.files.wordpress.com/2015/09/may-23-2014-amended-final-judgment-and-order-of-sale-and-vacature.pdf" TargetMode="External"/><Relationship Id="rId82" Type="http://schemas.openxmlformats.org/officeDocument/2006/relationships/hyperlink" Target="https://supremecourtcase.wordpress.com/" TargetMode="External"/><Relationship Id="rId90" Type="http://schemas.openxmlformats.org/officeDocument/2006/relationships/hyperlink" Target="https://supremecourtcase.wordpress.com/" TargetMode="External"/><Relationship Id="rId95" Type="http://schemas.openxmlformats.org/officeDocument/2006/relationships/hyperlink" Target="https://supremecourtcase.wordpress.com/2015/07/02/supreme-court-denies-petition-but-because-of-extraordinary-intervening-circumstances-the-case-is-not-over/" TargetMode="External"/><Relationship Id="rId19" Type="http://schemas.openxmlformats.org/officeDocument/2006/relationships/hyperlink" Target="https://supremecourtcase.files.wordpress.com/2015/11/supreme-court-docket.pdf" TargetMode="External"/><Relationship Id="rId14" Type="http://schemas.openxmlformats.org/officeDocument/2006/relationships/hyperlink" Target="https://www.law.cornell.edu/uscode/text/28/3002" TargetMode="External"/><Relationship Id="rId22" Type="http://schemas.openxmlformats.org/officeDocument/2006/relationships/hyperlink" Target="https://supremecourtcase.files.wordpress.com/2015/11/ranch-dkt-21-motion-interlocutory-102914.pdf" TargetMode="External"/><Relationship Id="rId27" Type="http://schemas.openxmlformats.org/officeDocument/2006/relationships/hyperlink" Target="http://lcweb2.loc.gov/cgi-bin/ampage?collId=llsl&amp;fileName=016/llsl016.db&amp;recNum=2" TargetMode="External"/><Relationship Id="rId30" Type="http://schemas.openxmlformats.org/officeDocument/2006/relationships/hyperlink" Target="https://supremecourtcase.wordpress.com/author/supremecourtcase/" TargetMode="External"/><Relationship Id="rId35" Type="http://schemas.openxmlformats.org/officeDocument/2006/relationships/hyperlink" Target="https://supremecourtcase.files.wordpress.com/2015/10/demand-for-dismissal-filed-093015.pdf" TargetMode="External"/><Relationship Id="rId43" Type="http://schemas.openxmlformats.org/officeDocument/2006/relationships/hyperlink" Target="https://supremecourtcase.wordpress.com/" TargetMode="External"/><Relationship Id="rId48" Type="http://schemas.openxmlformats.org/officeDocument/2006/relationships/hyperlink" Target="https://supremecourtcase.wordpress.com/2015/09/10/supreme-court-declines-to-review-case-petitioner-moves-district-court-to-vacate-judgment/" TargetMode="External"/><Relationship Id="rId56" Type="http://schemas.openxmlformats.org/officeDocument/2006/relationships/hyperlink" Target="https://supremecourtcase.files.wordpress.com/2015/09/august-10-2015-notice-of-entry-of-order.pdf" TargetMode="External"/><Relationship Id="rId64" Type="http://schemas.openxmlformats.org/officeDocument/2006/relationships/hyperlink" Target="https://supremecourtcase.wordpress.com/2015/08/20/revocation-of-election-to-be-treated-as-a-resident-of-the-district-of-columbia/" TargetMode="External"/><Relationship Id="rId69" Type="http://schemas.openxmlformats.org/officeDocument/2006/relationships/hyperlink" Target="https://supremecourtcase.wordpress.com/" TargetMode="External"/><Relationship Id="rId77" Type="http://schemas.openxmlformats.org/officeDocument/2006/relationships/hyperlink" Target="https://supremecourtcase.wordpress.com/2015/08/11/memorandum-of-law-lays-bare-the-hoax-that-is-the-internal-revenue-code/" TargetMode="External"/><Relationship Id="rId100" Type="http://schemas.openxmlformats.org/officeDocument/2006/relationships/hyperlink" Target="https://supremecourtcase.files.wordpress.com/2015/07/13-petition-for-rehearing-filed-june-30-2015.pdf" TargetMode="External"/><Relationship Id="rId105" Type="http://schemas.openxmlformats.org/officeDocument/2006/relationships/hyperlink" Target="https://wordpress.com/?ref=footer_website" TargetMode="External"/><Relationship Id="rId8" Type="http://schemas.openxmlformats.org/officeDocument/2006/relationships/hyperlink" Target="https://supremecourtcase.wordpress.com/2015/11/05/docket-and-record-houston-and-lufkin-division-federal-tax-cases-2/" TargetMode="External"/><Relationship Id="rId51" Type="http://schemas.openxmlformats.org/officeDocument/2006/relationships/hyperlink" Target="https://supremecourtcase.wordpress.com/2015/09/10/supreme-court-declines-to-review-case-petitioner-moves-district-court-to-vacate-judgment/" TargetMode="External"/><Relationship Id="rId72" Type="http://schemas.openxmlformats.org/officeDocument/2006/relationships/hyperlink" Target="https://supremecourtcase.files.wordpress.com/2015/08/memorandum-of-law-revised-081415-website-signed.pdf" TargetMode="External"/><Relationship Id="rId80" Type="http://schemas.openxmlformats.org/officeDocument/2006/relationships/hyperlink" Target="https://supremecourtcase.wordpress.com/2015/08/11/memorandum-of-law-lays-bare-the-hoax-that-is-the-internal-revenue-code/" TargetMode="External"/><Relationship Id="rId85" Type="http://schemas.openxmlformats.org/officeDocument/2006/relationships/hyperlink" Target="https://supremecourtcase.wordpress.com/" TargetMode="External"/><Relationship Id="rId93" Type="http://schemas.openxmlformats.org/officeDocument/2006/relationships/hyperlink" Target="https://supremecourtcase.files.wordpress.com/2015/08/memorandum-of-law-revised-081415-website-signed1.pdf" TargetMode="External"/><Relationship Id="rId98" Type="http://schemas.openxmlformats.org/officeDocument/2006/relationships/hyperlink" Target="https://supremecourtcase.files.wordpress.com/2015/05/1-supreme-court-no-14-1305-petition-for-writ-of-certiorari-filed-april-29-20151.pdf" TargetMode="External"/><Relationship Id="rId3" Type="http://schemas.openxmlformats.org/officeDocument/2006/relationships/settings" Target="settings.xml"/><Relationship Id="rId12" Type="http://schemas.openxmlformats.org/officeDocument/2006/relationships/hyperlink" Target="https://www.law.cornell.edu/uscode/text/26/6013" TargetMode="External"/><Relationship Id="rId17" Type="http://schemas.openxmlformats.org/officeDocument/2006/relationships/hyperlink" Target="https://supremecourtcase.files.wordpress.com/2015/11/5-fifth-circuit-appeal-docket.pdf" TargetMode="External"/><Relationship Id="rId25" Type="http://schemas.openxmlformats.org/officeDocument/2006/relationships/hyperlink" Target="https://supremecourtcase.files.wordpress.com/2015/11/3-lufkin-division-docket.pdf" TargetMode="External"/><Relationship Id="rId33" Type="http://schemas.openxmlformats.org/officeDocument/2006/relationships/hyperlink" Target="https://www.law.cornell.edu/rules/frcp/rule_12" TargetMode="External"/><Relationship Id="rId38" Type="http://schemas.openxmlformats.org/officeDocument/2006/relationships/hyperlink" Target="https://supremecourtcase.wordpress.com/2015/10/01/sister-case-petitioner-demands-the-courts-constitutional-authority-plaintiff-and-court-go-silent-petitioner-demands-immediate-dismissal-and-costs-restitution-and-damages-of-1841451-45/" TargetMode="External"/><Relationship Id="rId46" Type="http://schemas.openxmlformats.org/officeDocument/2006/relationships/hyperlink" Target="https://supremecourtcase.wordpress.com/" TargetMode="External"/><Relationship Id="rId59" Type="http://schemas.openxmlformats.org/officeDocument/2006/relationships/hyperlink" Target="http://www.leagle.com/cite/661%20F.2d%20655" TargetMode="External"/><Relationship Id="rId67" Type="http://schemas.openxmlformats.org/officeDocument/2006/relationships/hyperlink" Target="https://supremecourtcase.wordpress.com/2015/08/20/revocation-of-election-to-be-treated-as-a-resident-of-the-district-of-columbia/" TargetMode="External"/><Relationship Id="rId103" Type="http://schemas.openxmlformats.org/officeDocument/2006/relationships/hyperlink" Target="https://supremecourtcase.files.wordpress.com/2015/07/14-sua-sponte-defined.pdf" TargetMode="External"/><Relationship Id="rId108" Type="http://schemas.openxmlformats.org/officeDocument/2006/relationships/hyperlink" Target="https://wordpress.com/?ref=lof" TargetMode="External"/><Relationship Id="rId20" Type="http://schemas.openxmlformats.org/officeDocument/2006/relationships/hyperlink" Target="https://supremecourtcase.files.wordpress.com/2015/11/7a-supreme-court-record.pdf" TargetMode="External"/><Relationship Id="rId41" Type="http://schemas.openxmlformats.org/officeDocument/2006/relationships/hyperlink" Target="https://supremecourtcase.files.wordpress.com/2015/10/ranch-docket-31-motion-dismiss-recusal-112514.pdf" TargetMode="External"/><Relationship Id="rId54" Type="http://schemas.openxmlformats.org/officeDocument/2006/relationships/hyperlink" Target="https://supremecourtcase.wordpress.com/" TargetMode="External"/><Relationship Id="rId62" Type="http://schemas.openxmlformats.org/officeDocument/2006/relationships/hyperlink" Target="https://supremecourtcase.files.wordpress.com/2015/09/6-motion-to-vacate-judgment-and-order-september-9-2015.pdf" TargetMode="External"/><Relationship Id="rId70" Type="http://schemas.openxmlformats.org/officeDocument/2006/relationships/hyperlink" Target="https://supremecourtcase.files.wordpress.com/2015/08/memorandum-of-law-revised-081415-website-signed.pdf" TargetMode="External"/><Relationship Id="rId75" Type="http://schemas.openxmlformats.org/officeDocument/2006/relationships/hyperlink" Target="https://supremecourtcase.files.wordpress.com/2015/08/2-petitioner_s-statement-of-revocation-of-july-20-2015.pdf" TargetMode="External"/><Relationship Id="rId83" Type="http://schemas.openxmlformats.org/officeDocument/2006/relationships/hyperlink" Target="https://supremecourtcase.wordpress.com/" TargetMode="External"/><Relationship Id="rId88" Type="http://schemas.openxmlformats.org/officeDocument/2006/relationships/hyperlink" Target="https://supremecourtcase.wordpress.com/" TargetMode="External"/><Relationship Id="rId91" Type="http://schemas.openxmlformats.org/officeDocument/2006/relationships/hyperlink" Target="https://supremecourtcase.wordpress.com/" TargetMode="External"/><Relationship Id="rId96" Type="http://schemas.openxmlformats.org/officeDocument/2006/relationships/hyperlink" Target="https://supremecourtcase.wordpress.com/author/supremecourtcase/" TargetMode="External"/><Relationship Id="rId1" Type="http://schemas.openxmlformats.org/officeDocument/2006/relationships/numbering" Target="numbering.xml"/><Relationship Id="rId6" Type="http://schemas.openxmlformats.org/officeDocument/2006/relationships/hyperlink" Target="https://supremecourtcase.wordpress.com/2015/11/05/docket-and-record-houston-and-lufkin-division-federal-tax-cases-2/" TargetMode="External"/><Relationship Id="rId15" Type="http://schemas.openxmlformats.org/officeDocument/2006/relationships/hyperlink" Target="https://supremecourtcase.files.wordpress.com/2015/11/2-houston-division-docket.pdf" TargetMode="External"/><Relationship Id="rId23" Type="http://schemas.openxmlformats.org/officeDocument/2006/relationships/hyperlink" Target="http://www.gpo.gov/fdsys/pkg/CDOC-110hdoc50/pdf/CDOC-110hdoc50.pdf" TargetMode="External"/><Relationship Id="rId28" Type="http://schemas.openxmlformats.org/officeDocument/2006/relationships/hyperlink" Target="https://supremecourtcase.wordpress.com/2015/10/28/sister-federal-tax-case-judge-and-doj-attorneys-abandon-case-midstream-refuse-to-participate-any-further/" TargetMode="External"/><Relationship Id="rId36" Type="http://schemas.openxmlformats.org/officeDocument/2006/relationships/hyperlink" Target="https://supremecourtcase.wordpress.com/2015/11/05/docket-and-record-houston-and-lufkin-division-federal-tax-cases-2/" TargetMode="External"/><Relationship Id="rId49" Type="http://schemas.openxmlformats.org/officeDocument/2006/relationships/hyperlink" Target="https://supremecourtcase.wordpress.com/2015/09/10/supreme-court-declines-to-review-case-petitioner-moves-district-court-to-vacate-judgment/" TargetMode="External"/><Relationship Id="rId57" Type="http://schemas.openxmlformats.org/officeDocument/2006/relationships/hyperlink" Target="http://www.leagle.com/cite/660%20F.2d%20291" TargetMode="External"/><Relationship Id="rId106" Type="http://schemas.openxmlformats.org/officeDocument/2006/relationships/hyperlink" Target="https://wordpress.com/themes/ryu/" TargetMode="External"/><Relationship Id="rId10" Type="http://schemas.openxmlformats.org/officeDocument/2006/relationships/hyperlink" Target="http://lcweb2.loc.gov/cgi-bin/ampage?collId=llsl&amp;fileName=013/llsl013.db&amp;recNum=2" TargetMode="External"/><Relationship Id="rId31" Type="http://schemas.openxmlformats.org/officeDocument/2006/relationships/hyperlink" Target="https://supremecourtcase.wordpress.com/2015/10/28/sister-federal-tax-case-judge-and-doj-attorneys-abandon-case-midstream-refuse-to-participate-any-further/" TargetMode="External"/><Relationship Id="rId44" Type="http://schemas.openxmlformats.org/officeDocument/2006/relationships/hyperlink" Target="https://supremecourtcase.files.wordpress.com/2015/10/filed-dkt-58-objection-and-demand-091415.pdf" TargetMode="External"/><Relationship Id="rId52" Type="http://schemas.openxmlformats.org/officeDocument/2006/relationships/hyperlink" Target="https://supremecourtcase.files.wordpress.com/2015/05/1-supreme-court-no-14-1305-petition-for-writ-of-certiorari-filed-april-29-20151.pdf" TargetMode="External"/><Relationship Id="rId60" Type="http://schemas.openxmlformats.org/officeDocument/2006/relationships/hyperlink" Target="http://www.leagle.com/cite/55%20F.3d%201311" TargetMode="External"/><Relationship Id="rId65" Type="http://schemas.openxmlformats.org/officeDocument/2006/relationships/hyperlink" Target="https://supremecourtcase.wordpress.com/2015/08/20/revocation-of-election-to-be-treated-as-a-resident-of-the-district-of-columbia/" TargetMode="External"/><Relationship Id="rId73" Type="http://schemas.openxmlformats.org/officeDocument/2006/relationships/hyperlink" Target="https://supremecourtcase.wordpress.com/" TargetMode="External"/><Relationship Id="rId78" Type="http://schemas.openxmlformats.org/officeDocument/2006/relationships/hyperlink" Target="https://supremecourtcase.wordpress.com/2015/08/11/memorandum-of-law-lays-bare-the-hoax-that-is-the-internal-revenue-code/" TargetMode="External"/><Relationship Id="rId81" Type="http://schemas.openxmlformats.org/officeDocument/2006/relationships/hyperlink" Target="https://supremecourtcase.wordpress.com/" TargetMode="External"/><Relationship Id="rId86" Type="http://schemas.openxmlformats.org/officeDocument/2006/relationships/hyperlink" Target="https://supremecourtcase.wordpress.com/" TargetMode="External"/><Relationship Id="rId94" Type="http://schemas.openxmlformats.org/officeDocument/2006/relationships/hyperlink" Target="https://supremecourtcase.wordpress.com/2015/07/02/supreme-court-denies-petition-but-because-of-extraordinary-intervening-circumstances-the-case-is-not-over/" TargetMode="External"/><Relationship Id="rId99" Type="http://schemas.openxmlformats.org/officeDocument/2006/relationships/hyperlink" Target="https://supremecourtcase.files.wordpress.com/2015/07/12-supreme-court-denies-petition-for-writ-of-certiorari-june-8-2015.pdf" TargetMode="External"/><Relationship Id="rId101" Type="http://schemas.openxmlformats.org/officeDocument/2006/relationships/hyperlink" Target="https://supremecourtcase.files.wordpress.com/2015/07/12-supreme-court-denies-petition-for-writ-of-certiorari-june-8-2015.pdf" TargetMode="External"/><Relationship Id="rId4" Type="http://schemas.openxmlformats.org/officeDocument/2006/relationships/webSettings" Target="webSettings.xml"/><Relationship Id="rId9" Type="http://schemas.openxmlformats.org/officeDocument/2006/relationships/hyperlink" Target="http://www.gpo.gov/fdsys/pkg/CDOC-110hdoc50/pdf/CDOC-110hdoc50.pdf" TargetMode="External"/><Relationship Id="rId13" Type="http://schemas.openxmlformats.org/officeDocument/2006/relationships/hyperlink" Target="https://supremecourtcase.files.wordpress.com/2015/11/filed-dkt-58-objection-and-demand-091415.pdf" TargetMode="External"/><Relationship Id="rId18" Type="http://schemas.openxmlformats.org/officeDocument/2006/relationships/hyperlink" Target="https://supremecourtcase.files.wordpress.com/2015/11/5a-fifth-circuit-appeal-record.pdf" TargetMode="External"/><Relationship Id="rId39" Type="http://schemas.openxmlformats.org/officeDocument/2006/relationships/hyperlink" Target="https://supremecourtcase.wordpress.com/author/supremecourtcase/" TargetMode="External"/><Relationship Id="rId109" Type="http://schemas.openxmlformats.org/officeDocument/2006/relationships/fontTable" Target="fontTable.xml"/><Relationship Id="rId34" Type="http://schemas.openxmlformats.org/officeDocument/2006/relationships/hyperlink" Target="https://www.law.cornell.edu/rules/frcp/rule_41" TargetMode="External"/><Relationship Id="rId50" Type="http://schemas.openxmlformats.org/officeDocument/2006/relationships/hyperlink" Target="https://supremecourtcase.wordpress.com/author/supremecourtcase/" TargetMode="External"/><Relationship Id="rId55" Type="http://schemas.openxmlformats.org/officeDocument/2006/relationships/hyperlink" Target="https://supremecourtcase.wordpress.com/" TargetMode="External"/><Relationship Id="rId76" Type="http://schemas.openxmlformats.org/officeDocument/2006/relationships/hyperlink" Target="https://supremecourtcase.files.wordpress.com/2015/08/5-correction.pdf" TargetMode="External"/><Relationship Id="rId97" Type="http://schemas.openxmlformats.org/officeDocument/2006/relationships/hyperlink" Target="https://supremecourtcase.wordpress.com/2015/07/02/supreme-court-denies-petition-but-because-of-extraordinary-intervening-circumstances-the-case-is-not-over/" TargetMode="External"/><Relationship Id="rId104" Type="http://schemas.openxmlformats.org/officeDocument/2006/relationships/hyperlink" Target="https://supremecourtcase.files.wordpress.com/2015/07/15-supreme-court-docket-june-30-2015.pdf" TargetMode="External"/><Relationship Id="rId7" Type="http://schemas.openxmlformats.org/officeDocument/2006/relationships/hyperlink" Target="https://supremecourtcase.wordpress.com/author/supremecourtcase/" TargetMode="External"/><Relationship Id="rId71" Type="http://schemas.openxmlformats.org/officeDocument/2006/relationships/hyperlink" Target="https://supremecourtcase.wordpress.com/" TargetMode="External"/><Relationship Id="rId92" Type="http://schemas.openxmlformats.org/officeDocument/2006/relationships/hyperlink" Target="https://supremecourtcase.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9112</Words>
  <Characters>51945</Characters>
  <Application>Microsoft Office Word</Application>
  <DocSecurity>0</DocSecurity>
  <Lines>432</Lines>
  <Paragraphs>121</Paragraphs>
  <ScaleCrop>false</ScaleCrop>
  <Company/>
  <LinksUpToDate>false</LinksUpToDate>
  <CharactersWithSpaces>60936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2</cp:revision>
  <dcterms:created xsi:type="dcterms:W3CDTF">2015-11-21T22:43:00Z</dcterms:created>
  <dcterms:modified xsi:type="dcterms:W3CDTF">2015-12-16T21:02:00Z</dcterms:modified>
</cp:coreProperties>
</file>