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82" w:rsidRPr="006A2F82" w:rsidRDefault="006A2F82">
      <w:pPr>
        <w:rPr>
          <w:b/>
          <w:sz w:val="44"/>
          <w:szCs w:val="44"/>
          <w:u w:val="single"/>
        </w:rPr>
      </w:pPr>
    </w:p>
    <w:p w:rsidR="006A2F82" w:rsidRPr="006A2F82" w:rsidRDefault="006A2F82">
      <w:pPr>
        <w:rPr>
          <w:b/>
          <w:sz w:val="44"/>
          <w:szCs w:val="44"/>
          <w:u w:val="single"/>
        </w:rPr>
      </w:pPr>
      <w:bookmarkStart w:id="0" w:name="_GoBack"/>
      <w:r w:rsidRPr="006A2F82">
        <w:rPr>
          <w:b/>
          <w:sz w:val="44"/>
          <w:szCs w:val="44"/>
          <w:u w:val="single"/>
        </w:rPr>
        <w:t xml:space="preserve">Furnace and Fugue - </w:t>
      </w:r>
      <w:proofErr w:type="spellStart"/>
      <w:r w:rsidRPr="006A2F82">
        <w:rPr>
          <w:b/>
          <w:sz w:val="44"/>
          <w:szCs w:val="44"/>
          <w:u w:val="single"/>
        </w:rPr>
        <w:t>Atalanta</w:t>
      </w:r>
      <w:proofErr w:type="spellEnd"/>
      <w:r w:rsidRPr="006A2F82">
        <w:rPr>
          <w:b/>
          <w:sz w:val="44"/>
          <w:szCs w:val="44"/>
          <w:u w:val="single"/>
        </w:rPr>
        <w:t xml:space="preserve"> </w:t>
      </w:r>
      <w:proofErr w:type="spellStart"/>
      <w:r w:rsidRPr="006A2F82">
        <w:rPr>
          <w:b/>
          <w:sz w:val="44"/>
          <w:szCs w:val="44"/>
          <w:u w:val="single"/>
        </w:rPr>
        <w:t>fugiens</w:t>
      </w:r>
      <w:proofErr w:type="spellEnd"/>
    </w:p>
    <w:bookmarkEnd w:id="0"/>
    <w:p w:rsidR="006A2F82" w:rsidRDefault="006A2F82">
      <w:r>
        <w:fldChar w:fldCharType="begin"/>
      </w:r>
      <w:r>
        <w:instrText xml:space="preserve"> HYPERLINK "</w:instrText>
      </w:r>
      <w:r w:rsidRPr="006A2F82">
        <w:instrText>https://furnaceandfugue.org/</w:instrText>
      </w:r>
      <w:r>
        <w:instrText xml:space="preserve">" </w:instrText>
      </w:r>
      <w:r>
        <w:fldChar w:fldCharType="separate"/>
      </w:r>
      <w:r w:rsidRPr="00306D3A">
        <w:rPr>
          <w:rStyle w:val="Hyperlink"/>
        </w:rPr>
        <w:t>https://furnaceandfugue.org/</w:t>
      </w:r>
      <w:r>
        <w:fldChar w:fldCharType="end"/>
      </w:r>
    </w:p>
    <w:p w:rsidR="006A2F82" w:rsidRDefault="006A2F82"/>
    <w:p w:rsidR="006A2F82" w:rsidRDefault="006A2F82" w:rsidP="006A2F82">
      <w:pPr>
        <w:pStyle w:val="NormalWeb"/>
      </w:pPr>
      <w:r>
        <w:t xml:space="preserve">From the moment the printer Hieronymus </w:t>
      </w:r>
      <w:proofErr w:type="spellStart"/>
      <w:r>
        <w:t>Galler</w:t>
      </w:r>
      <w:proofErr w:type="spellEnd"/>
      <w:r>
        <w:t xml:space="preserve"> lifted its pages from his press,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has been an intriguing, demanding book. With its multiple typefaces, music, and etchings, it is a virtuoso specimen of </w:t>
      </w:r>
      <w:hyperlink r:id="rId6" w:tgtFrame="_blank" w:history="1">
        <w:r>
          <w:rPr>
            <w:rStyle w:val="Hyperlink"/>
          </w:rPr>
          <w:t>early modern print technology</w:t>
        </w:r>
      </w:hyperlink>
      <w:r>
        <w:t xml:space="preserve"> and a prime example of the beautiful engraved books produced by the renowned publisher Johann Theodor de </w:t>
      </w:r>
      <w:proofErr w:type="spellStart"/>
      <w:r>
        <w:t>Bry</w:t>
      </w:r>
      <w:proofErr w:type="spellEnd"/>
      <w:r>
        <w:t xml:space="preserve"> and illustrated by </w:t>
      </w:r>
      <w:proofErr w:type="spellStart"/>
      <w:r>
        <w:t>Matthäus</w:t>
      </w:r>
      <w:proofErr w:type="spellEnd"/>
      <w:r>
        <w:t xml:space="preserve"> </w:t>
      </w:r>
      <w:proofErr w:type="spellStart"/>
      <w:r>
        <w:t>Merian</w:t>
      </w:r>
      <w:proofErr w:type="spellEnd"/>
      <w:r>
        <w:t xml:space="preserve">. </w:t>
      </w:r>
    </w:p>
    <w:p w:rsidR="006A2F82" w:rsidRDefault="006A2F82" w:rsidP="006A2F82">
      <w:pPr>
        <w:numPr>
          <w:ilvl w:val="0"/>
          <w:numId w:val="2"/>
        </w:numPr>
        <w:spacing w:before="100" w:beforeAutospacing="1" w:after="100" w:afterAutospacing="1" w:line="240" w:lineRule="auto"/>
      </w:pPr>
      <w:hyperlink r:id="rId7" w:anchor="illustration-list" w:history="1">
        <w:r>
          <w:rPr>
            <w:rStyle w:val="Hyperlink"/>
          </w:rPr>
          <w:t>List of Illustrations</w:t>
        </w:r>
      </w:hyperlink>
    </w:p>
    <w:p w:rsidR="006A2F82" w:rsidRDefault="006A2F82" w:rsidP="006A2F82">
      <w:pPr>
        <w:numPr>
          <w:ilvl w:val="0"/>
          <w:numId w:val="2"/>
        </w:numPr>
        <w:spacing w:before="100" w:beforeAutospacing="1" w:after="100" w:afterAutospacing="1" w:line="240" w:lineRule="auto"/>
      </w:pPr>
      <w:hyperlink r:id="rId8" w:anchor="works-cite" w:history="1">
        <w:r>
          <w:rPr>
            <w:rStyle w:val="Hyperlink"/>
          </w:rPr>
          <w:t>Works Cited</w:t>
        </w:r>
      </w:hyperlink>
    </w:p>
    <w:p w:rsidR="006A2F82" w:rsidRDefault="006A2F82" w:rsidP="006A2F82">
      <w:pPr>
        <w:numPr>
          <w:ilvl w:val="0"/>
          <w:numId w:val="2"/>
        </w:numPr>
        <w:spacing w:before="100" w:beforeAutospacing="1" w:after="100" w:afterAutospacing="1" w:line="240" w:lineRule="auto"/>
      </w:pPr>
      <w:hyperlink r:id="rId9" w:anchor="citation" w:history="1">
        <w:r>
          <w:rPr>
            <w:rStyle w:val="Hyperlink"/>
          </w:rPr>
          <w:t>Citation</w:t>
        </w:r>
      </w:hyperlink>
    </w:p>
    <w:p w:rsidR="006A2F82" w:rsidRDefault="006A2F82" w:rsidP="006A2F82">
      <w:pPr>
        <w:numPr>
          <w:ilvl w:val="0"/>
          <w:numId w:val="2"/>
        </w:numPr>
        <w:spacing w:before="100" w:beforeAutospacing="1" w:after="100" w:afterAutospacing="1" w:line="240" w:lineRule="auto"/>
      </w:pPr>
      <w:hyperlink r:id="rId10" w:anchor="biography" w:history="1">
        <w:r>
          <w:rPr>
            <w:rStyle w:val="Hyperlink"/>
          </w:rPr>
          <w:t>Author Biography</w:t>
        </w:r>
      </w:hyperlink>
    </w:p>
    <w:p w:rsidR="006A2F82" w:rsidRDefault="006A2F82" w:rsidP="006A2F82">
      <w:pPr>
        <w:pStyle w:val="NormalWeb"/>
      </w:pPr>
      <w:r>
        <w:t xml:space="preserve">The book unfolds as a series of fifty emblems, each containing multiple parts: a motto and epigram in German and Latin, a copperplate etching, a fugue for three voices, and a Latin discourse that expands on the emblem’s themes.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presents an alchemical realm where deities, heroes, and mortals mingle within fantastic landscapes and elaborate interiors. Some of the emblems depict identifiable laboratory processes, encoding alchemical practice and the marvels of material transformations in allegorical images. The layout of the book itself is elegant in its symmetry. The musical scores on the left mirror the images on the right; together with the surrounding text and subsequent discourses, each emblem set makes a neat package of music, image, and text. </w:t>
      </w:r>
    </w:p>
    <w:p w:rsidR="006A2F82" w:rsidRDefault="006A2F82" w:rsidP="006A2F82">
      <w:pPr>
        <w:pStyle w:val="NormalWeb"/>
      </w:pPr>
      <w:r>
        <w:t xml:space="preserve">The content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no less masterful, invoking a kind of erudition that was prevalent enough among scholars in 1618 but is rare today. Maier’s title page gestures to an </w:t>
      </w:r>
      <w:proofErr w:type="spellStart"/>
      <w:r>
        <w:t>Ovidian</w:t>
      </w:r>
      <w:proofErr w:type="spellEnd"/>
      <w:r>
        <w:t xml:space="preserve"> legend — the tale of the fleet-footed huntress </w:t>
      </w:r>
      <w:proofErr w:type="spellStart"/>
      <w:r>
        <w:t>Atalanta</w:t>
      </w:r>
      <w:proofErr w:type="spellEnd"/>
      <w:r>
        <w:t xml:space="preserve">, whom </w:t>
      </w:r>
      <w:proofErr w:type="spellStart"/>
      <w:r>
        <w:t>Hippomenes</w:t>
      </w:r>
      <w:proofErr w:type="spellEnd"/>
      <w:r>
        <w:t xml:space="preserve"> hopes to best in a race by dropping three distracting golden apples in her path.</w:t>
      </w:r>
      <w:hyperlink r:id="rId11" w:history="1">
        <w:r>
          <w:rPr>
            <w:rStyle w:val="Hyperlink"/>
            <w:vertAlign w:val="superscript"/>
          </w:rPr>
          <w:t>1</w:t>
        </w:r>
      </w:hyperlink>
      <w:r>
        <w:t xml:space="preserve"> In Maier’s hands, however, Ovid’s central characters become </w:t>
      </w:r>
      <w:proofErr w:type="spellStart"/>
      <w:r>
        <w:t>chymical</w:t>
      </w:r>
      <w:proofErr w:type="spellEnd"/>
      <w:r>
        <w:t xml:space="preserve"> materials</w:t>
      </w:r>
      <w:proofErr w:type="gramStart"/>
      <w:r>
        <w:t>,</w:t>
      </w:r>
      <w:proofErr w:type="gramEnd"/>
      <w:r>
        <w:rPr>
          <w:vertAlign w:val="superscript"/>
        </w:rPr>
        <w:fldChar w:fldCharType="begin"/>
      </w:r>
      <w:r>
        <w:rPr>
          <w:vertAlign w:val="superscript"/>
        </w:rPr>
        <w:instrText xml:space="preserve"> HYPERLINK "https://furnaceandfugue.org/essays/introduction/" </w:instrText>
      </w:r>
      <w:r>
        <w:rPr>
          <w:vertAlign w:val="superscript"/>
        </w:rPr>
        <w:fldChar w:fldCharType="separate"/>
      </w:r>
      <w:r>
        <w:rPr>
          <w:rStyle w:val="Hyperlink"/>
          <w:vertAlign w:val="superscript"/>
        </w:rPr>
        <w:t>2</w:t>
      </w:r>
      <w:r>
        <w:rPr>
          <w:vertAlign w:val="superscript"/>
        </w:rPr>
        <w:fldChar w:fldCharType="end"/>
      </w:r>
      <w:r>
        <w:rPr>
          <w:vertAlign w:val="superscript"/>
        </w:rPr>
        <w:t xml:space="preserve"> </w:t>
      </w:r>
      <w:r>
        <w:t xml:space="preserve">while their interactions and transformations turn the ancient myth into a multimedia alchemical allegory designed to engage the ear, eye, and intellect. Only a reader equipped with a deep knowledge of classical myth, alchemy, natural history, music, mathematics, steganography, and medicine (not to mention the ability to read musical notation, German, and Latin) would have been up to the challenge of grasping the full significance of Maier’s clever text in 1618. As intimidating and kaleidoscopic as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may seem, however, its proposition is simple: all of the book’s parts are meant to work together, combining synergistically to reveal — or even produce — new insights into nature’s secrets. A shrewd reader could hope to acquire </w:t>
      </w:r>
      <w:hyperlink r:id="rId12" w:tgtFrame="_blank" w:history="1">
        <w:r>
          <w:rPr>
            <w:rStyle w:val="Hyperlink"/>
          </w:rPr>
          <w:t>alchemical techniques</w:t>
        </w:r>
      </w:hyperlink>
      <w:r>
        <w:t xml:space="preserve"> for making powerful medicines or precious metals, and even knowledge about the origins and transformation of matter. In 1618, Maier offered his readers a puzzle, a game, a chance to test out their own virtuosity and to uncover nature’s secrets. In other words, Michael Maier invited </w:t>
      </w:r>
      <w:r>
        <w:lastRenderedPageBreak/>
        <w:t xml:space="preserve">his readers to engage with the text in ways that might today be considered playful — and they have been playing with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ever since.</w:t>
      </w:r>
      <w:hyperlink r:id="rId13" w:history="1">
        <w:r>
          <w:rPr>
            <w:rStyle w:val="Hyperlink"/>
            <w:vertAlign w:val="superscript"/>
          </w:rPr>
          <w:t>3</w:t>
        </w:r>
      </w:hyperlink>
      <w:r>
        <w:t xml:space="preserve"> </w:t>
      </w:r>
    </w:p>
    <w:p w:rsidR="006A2F82" w:rsidRDefault="006A2F82" w:rsidP="006A2F82">
      <w:pPr>
        <w:pStyle w:val="NormalWeb"/>
      </w:pPr>
      <w:r>
        <w:t xml:space="preserve">While we recognize and celebrate the fact that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has had an unusually long and rich afterlife as an intellectual, musical, and aesthetic object, the following essays approach Maier’s text first and foremost as a historical artifact whose playfulness must be understood in the intellectual, cultural, political, and religious context of early seventeenth-century Europe. Our exploration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emerges out of an intentional multidisciplinary collaboration among scholars of early modern print, music, art, philosophy, mathematics, and alchemy. We explore how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both contributed to and </w:t>
      </w:r>
      <w:proofErr w:type="gramStart"/>
      <w:r>
        <w:t>was</w:t>
      </w:r>
      <w:proofErr w:type="gramEnd"/>
      <w:r>
        <w:t xml:space="preserve"> shaped by early modern debates about epistemology and the senses, cryptography, humor and ludic culture, and print as an instrument for producing knowledge, as well as debates about the status of alchemy in a period in which it was deeply contested.</w:t>
      </w:r>
      <w:hyperlink r:id="rId14" w:history="1">
        <w:r>
          <w:rPr>
            <w:rStyle w:val="Hyperlink"/>
            <w:vertAlign w:val="superscript"/>
          </w:rPr>
          <w:t>4</w:t>
        </w:r>
      </w:hyperlink>
      <w:r>
        <w:t xml:space="preserve"> Our starting point is the assertion that if in 1618 Maier could reasonably expect a single reader to have the wide-ranging erudition and skill set to engage his book, </w:t>
      </w:r>
      <w:proofErr w:type="gramStart"/>
      <w:r>
        <w:t>then</w:t>
      </w:r>
      <w:proofErr w:type="gramEnd"/>
      <w:r>
        <w:t xml:space="preserve"> unpacking the riches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today requires multidisciplinary collaboration. For example, some modern scholars may read Latin but not German (or vice versa), while others may understand the visual conventions Maier draws on in his emblem landscapes but be entirely unfamiliar with the Phrygian mode in early modern music. Anthropomorphized images of philosophical sulfur or mercury are old hat to historians of alchemy, while to others they might look like bizarre flights of fancy. In short, the fracturing of expertise into disciplinary bodies of knowledge means that scholars today can only grapple fully with the many dimensions of Maier’s ambitious text through multidisciplinary collaboration. </w:t>
      </w:r>
    </w:p>
    <w:p w:rsidR="006A2F82" w:rsidRDefault="006A2F82" w:rsidP="006A2F82">
      <w:pPr>
        <w:pStyle w:val="NormalWeb"/>
      </w:pPr>
      <w:r>
        <w:t xml:space="preserve">We view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therefore, as an invitation and a challenge to reassemble collectively the expertise that Maier’s book demands. This approach departs from previous scholarship on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in several ways. First, this collection of essays is framed as a multidisciplinary conversation. Existing scholarly studies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have tended to highlight a single element of the book. For example, the major English-language </w:t>
      </w:r>
      <w:proofErr w:type="gramStart"/>
      <w:r>
        <w:t>study</w:t>
      </w:r>
      <w:proofErr w:type="gramEnd"/>
      <w:r>
        <w:t xml:space="preserve">, H. M. E. de Jong’s 1969 </w:t>
      </w:r>
      <w:r>
        <w:rPr>
          <w:rStyle w:val="Emphasis"/>
        </w:rPr>
        <w:t>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Sources of an Alchemical Book of Emblems</w:t>
      </w:r>
      <w:r>
        <w:t xml:space="preserve">, focuses primarily on the </w:t>
      </w:r>
      <w:proofErr w:type="spellStart"/>
      <w:r>
        <w:t>intertextuality</w:t>
      </w:r>
      <w:proofErr w:type="spellEnd"/>
      <w:r>
        <w:t xml:space="preserve"> of the book. De Jong’s crucial insight was to identify the corpus of alchemical, medical, mythological, and natural historical works from which Maier drew both explicitly and implicitly, and her study makes clear the extent to which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a masterful work of textual synthesis. Maier’s authorship, she shows, lies primarily in his ability to weave together well-known alchemical aphorisms and to juxtapose them with new frameworks (not least the </w:t>
      </w:r>
      <w:proofErr w:type="spellStart"/>
      <w:r>
        <w:t>Ovidian</w:t>
      </w:r>
      <w:proofErr w:type="spellEnd"/>
      <w:r>
        <w:t xml:space="preserve"> tale of </w:t>
      </w:r>
      <w:proofErr w:type="spellStart"/>
      <w:r>
        <w:t>Atalanta</w:t>
      </w:r>
      <w:proofErr w:type="spellEnd"/>
      <w:r>
        <w:t xml:space="preserve"> and </w:t>
      </w:r>
      <w:proofErr w:type="spellStart"/>
      <w:r>
        <w:t>Hippomenes</w:t>
      </w:r>
      <w:proofErr w:type="spellEnd"/>
      <w:r>
        <w:t xml:space="preserve">). De Jong’s attention to the literary elements of </w:t>
      </w:r>
      <w:proofErr w:type="spellStart"/>
      <w:r>
        <w:rPr>
          <w:rStyle w:val="Emphasis"/>
        </w:rPr>
        <w:t>Atalanta</w:t>
      </w:r>
      <w:proofErr w:type="spellEnd"/>
      <w:r>
        <w:rPr>
          <w:rStyle w:val="Emphasis"/>
        </w:rPr>
        <w:t xml:space="preserve"> </w:t>
      </w:r>
      <w:proofErr w:type="spellStart"/>
      <w:r>
        <w:rPr>
          <w:rStyle w:val="Emphasis"/>
        </w:rPr>
        <w:t>fugiens</w:t>
      </w:r>
      <w:proofErr w:type="spellEnd"/>
      <w:r>
        <w:t>, however, leaves open the relationship between Maier’s text and the book’s images and music. Meanwhile, other scholars have maintained a tight focus on the music, select images, or Maier’s philosophical commitments.</w:t>
      </w:r>
      <w:hyperlink r:id="rId15" w:history="1">
        <w:r>
          <w:rPr>
            <w:rStyle w:val="Hyperlink"/>
            <w:vertAlign w:val="superscript"/>
          </w:rPr>
          <w:t>5</w:t>
        </w:r>
      </w:hyperlink>
      <w:r>
        <w:t xml:space="preserve"> All of these studies have advanced our understanding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in important ways, and certainly deep disciplinary expertise is crucial for situating Maier’s project in specific philosophical, artistic, literary, or musical contexts; however, approaching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from the perspective of one or two disciplinary perspectives at a time also has its limits. Maier’s intention, after all, was to </w:t>
      </w:r>
      <w:r>
        <w:rPr>
          <w:rStyle w:val="Emphasis"/>
        </w:rPr>
        <w:t>integrate</w:t>
      </w:r>
      <w:r>
        <w:t xml:space="preserve"> sight, sound, and intellect, and so we, too, must grapple with the connections, synergies, and also tensions he laid out. </w:t>
      </w:r>
    </w:p>
    <w:p w:rsidR="006A2F82" w:rsidRDefault="006A2F82" w:rsidP="006A2F82">
      <w:pPr>
        <w:pStyle w:val="NormalWeb"/>
      </w:pPr>
      <w:r>
        <w:t xml:space="preserve">Earlier studies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have also relied on an understanding of early modern alchemy that has been significantly challenged in recent decades. Once seen either negatively, as “superstition” or “pseudoscience,” or, more positively, as a primarily literary or philosophical project closely linked with </w:t>
      </w:r>
      <w:proofErr w:type="spellStart"/>
      <w:r>
        <w:t>hermeticism</w:t>
      </w:r>
      <w:proofErr w:type="spellEnd"/>
      <w:r>
        <w:t xml:space="preserve">, </w:t>
      </w:r>
      <w:proofErr w:type="spellStart"/>
      <w:r>
        <w:t>Rosicrucianism</w:t>
      </w:r>
      <w:proofErr w:type="spellEnd"/>
      <w:r>
        <w:t>, and other “occult” philosophies, early modern alchemy is now also recognized as a fundamentally material endeavor, a set of practices deeply engaged with understanding and enacting the transformation of matter and closely associated with early modern science and medicine.</w:t>
      </w:r>
      <w:hyperlink r:id="rId16" w:history="1">
        <w:r>
          <w:rPr>
            <w:rStyle w:val="Hyperlink"/>
            <w:vertAlign w:val="superscript"/>
          </w:rPr>
          <w:t>6</w:t>
        </w:r>
      </w:hyperlink>
      <w:r>
        <w:t xml:space="preserve"> Informed by this new scholarly consensus in the history of alchemy, the following essays view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not only as a literary or philosophical text cleverly adorned with music but also as an invocation of actual laboratory technologies, potentially even a guide to the production of the philosophers’ stone. </w:t>
      </w:r>
    </w:p>
    <w:p w:rsidR="006A2F82" w:rsidRDefault="006A2F82" w:rsidP="006A2F82">
      <w:pPr>
        <w:pStyle w:val="NormalWeb"/>
      </w:pPr>
      <w:r>
        <w:t xml:space="preserve">The fact that Maier’s laboratory secrets are embedded in a such a virtuoso multimedia text, however, raises the question of its format even more urgently — and makes clear the need for a multidisciplinary approach. If Maier wanted to communicate something about </w:t>
      </w:r>
      <w:proofErr w:type="spellStart"/>
      <w:r>
        <w:t>chymical</w:t>
      </w:r>
      <w:proofErr w:type="spellEnd"/>
      <w:r>
        <w:t xml:space="preserve"> processes, then why not simply publish a more straightforward book of recipes? There are many possible answers to this question, of course. Perhaps he wanted to hide his most profound secrets from the untutored, unworthy, or lazy, even as he divulged them for all to see in print. Maier also sought to elevate alchemy above its grubby artisanal roots, establishing it as a humanist, philosophical, emblematic, courtly art with the potential to access nature’s arcana. On this count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certainly succeeds, demonstrating that alchemy offered not just precious medicines or metals but also fodder for mathematical games, musical riddles, artistic virtuosity, and classical erudition. </w:t>
      </w:r>
    </w:p>
    <w:p w:rsidR="006A2F82" w:rsidRDefault="006A2F82" w:rsidP="006A2F82">
      <w:pPr>
        <w:pStyle w:val="NormalWeb"/>
      </w:pPr>
      <w:r>
        <w:t xml:space="preserve">Maier’s insistence on representing his </w:t>
      </w:r>
      <w:proofErr w:type="spellStart"/>
      <w:r>
        <w:t>chymical</w:t>
      </w:r>
      <w:proofErr w:type="spellEnd"/>
      <w:r>
        <w:t xml:space="preserve"> secrets musically, visually, </w:t>
      </w:r>
      <w:r>
        <w:rPr>
          <w:rStyle w:val="Emphasis"/>
        </w:rPr>
        <w:t>and</w:t>
      </w:r>
      <w:r>
        <w:t xml:space="preserve"> textually suggests that the multimedia format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a clue to Maier’s broader arguments. The first two essays in this collection, from Tara </w:t>
      </w:r>
      <w:proofErr w:type="spellStart"/>
      <w:r>
        <w:t>Nummedal</w:t>
      </w:r>
      <w:proofErr w:type="spellEnd"/>
      <w:r>
        <w:t xml:space="preserve"> and Michael </w:t>
      </w:r>
      <w:proofErr w:type="spellStart"/>
      <w:r>
        <w:t>Gaudio</w:t>
      </w:r>
      <w:proofErr w:type="spellEnd"/>
      <w:r>
        <w:t xml:space="preserve">, argue for new ways of understanding how Maier’s audience may have read or looked at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w:t>
      </w:r>
      <w:hyperlink r:id="rId17" w:tgtFrame="_blank" w:history="1">
        <w:proofErr w:type="spellStart"/>
        <w:r>
          <w:rPr>
            <w:rStyle w:val="Hyperlink"/>
          </w:rPr>
          <w:t>Nummedal</w:t>
        </w:r>
        <w:proofErr w:type="spellEnd"/>
      </w:hyperlink>
      <w:r>
        <w:t xml:space="preserve"> explores the experience and interpretation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through an examination of multiple modes of reading. She reveals the structural framework that underpins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showing how the design of this book adheres to both a horizontal and a vertical orientation. In one modality, the reader moves across Maier’s musical alchemical emblem book with the turn of each page; in the other, the individual emblem requires that the eye travel down the page, an action that invites lingering and contemplation of its textual and visual interplay in penetrating its hidden meaning. Maier’s musical alchemical emblem book is thus designed as both codex and scroll. At the same time, </w:t>
      </w:r>
      <w:proofErr w:type="spellStart"/>
      <w:r>
        <w:t>Nummedal</w:t>
      </w:r>
      <w:proofErr w:type="spellEnd"/>
      <w:r>
        <w:t xml:space="preserve"> argues that these reading practices also engage the reader’s body, making the act of reading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into an exploration of the relationship between intellect and senses and, ultimately, of the proper practice of </w:t>
      </w:r>
      <w:proofErr w:type="spellStart"/>
      <w:r>
        <w:t>chymistry</w:t>
      </w:r>
      <w:proofErr w:type="spellEnd"/>
      <w:r>
        <w:t xml:space="preserve">. In turn, the essay by </w:t>
      </w:r>
      <w:hyperlink r:id="rId18" w:tgtFrame="_blank" w:history="1">
        <w:r>
          <w:rPr>
            <w:rStyle w:val="Hyperlink"/>
          </w:rPr>
          <w:t xml:space="preserve">Michael </w:t>
        </w:r>
        <w:proofErr w:type="spellStart"/>
        <w:r>
          <w:rPr>
            <w:rStyle w:val="Hyperlink"/>
          </w:rPr>
          <w:t>Gaudio</w:t>
        </w:r>
        <w:proofErr w:type="spellEnd"/>
      </w:hyperlink>
      <w:r>
        <w:t xml:space="preserve"> focuses on the captivating copperplate etchings by the artist </w:t>
      </w:r>
      <w:proofErr w:type="spellStart"/>
      <w:r>
        <w:t>Matthäus</w:t>
      </w:r>
      <w:proofErr w:type="spellEnd"/>
      <w:r>
        <w:t xml:space="preserve"> </w:t>
      </w:r>
      <w:proofErr w:type="spellStart"/>
      <w:r>
        <w:t>Merian</w:t>
      </w:r>
      <w:proofErr w:type="spellEnd"/>
      <w:r>
        <w:t xml:space="preserve"> that have assured the renown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across the centuries. Noting </w:t>
      </w:r>
      <w:proofErr w:type="spellStart"/>
      <w:r>
        <w:t>Merian’s</w:t>
      </w:r>
      <w:proofErr w:type="spellEnd"/>
      <w:r>
        <w:t xml:space="preserve"> unusual concentration on landscape depiction in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w:t>
      </w:r>
      <w:proofErr w:type="spellStart"/>
      <w:r>
        <w:t>Gaudio</w:t>
      </w:r>
      <w:proofErr w:type="spellEnd"/>
      <w:r>
        <w:t xml:space="preserve"> situates this visual feature within a broader German landscape tradition. Moreover, he suggests, the “background” landscapes in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are a commentary on the act of seeing, representing, and measuring nature. This visual mode of engaging nature, </w:t>
      </w:r>
      <w:proofErr w:type="spellStart"/>
      <w:r>
        <w:t>Gaudio</w:t>
      </w:r>
      <w:proofErr w:type="spellEnd"/>
      <w:r>
        <w:t xml:space="preserve"> argues, was an important first step for Maier, preceding the more emblematic act of “looking more deeply” at the foreground images. Just as Maier offers multiple ways of reading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according to </w:t>
      </w:r>
      <w:proofErr w:type="spellStart"/>
      <w:r>
        <w:t>Nummedal</w:t>
      </w:r>
      <w:proofErr w:type="spellEnd"/>
      <w:r>
        <w:t xml:space="preserve">, so too does he encourage at least two different ways of seeing nature. </w:t>
      </w:r>
    </w:p>
    <w:p w:rsidR="006A2F82" w:rsidRDefault="006A2F82" w:rsidP="006A2F82">
      <w:pPr>
        <w:pStyle w:val="NormalWeb"/>
      </w:pPr>
      <w:r>
        <w:t xml:space="preserve">Essays by Eric Bianchi and Peter J. Forshaw deepen our understanding of how Maier conceptualized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by examining the set of classical and contemporary sources that informed Maier’s use of music and mythology. </w:t>
      </w:r>
      <w:hyperlink r:id="rId19" w:tgtFrame="_blank" w:history="1">
        <w:r>
          <w:rPr>
            <w:rStyle w:val="Hyperlink"/>
          </w:rPr>
          <w:t>Eric Bianchi</w:t>
        </w:r>
      </w:hyperlink>
      <w:r>
        <w:t xml:space="preserve"> provides us with access to the intellectual context and social milieu of Maier’s musical world in a reconstruction of his musical philosophy.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evolved within a multifaceted cultural environment in which it participated in lofty mathematical abstractions about cosmic harmony even as it reflected commonplace professional music practices. Maier’s approach to music was thus speculative </w:t>
      </w:r>
      <w:r>
        <w:rPr>
          <w:rStyle w:val="Emphasis"/>
        </w:rPr>
        <w:t>and</w:t>
      </w:r>
      <w:r>
        <w:t xml:space="preserve"> </w:t>
      </w:r>
      <w:proofErr w:type="spellStart"/>
      <w:r>
        <w:t>performative</w:t>
      </w:r>
      <w:proofErr w:type="spellEnd"/>
      <w:r>
        <w:t xml:space="preserve">, and Bianchi’s essay navigates between these seemingly opposed cultural forces. He discusses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as a work of music theory in terms of the relationship between its “sounded” music and the “silent” music of Maier’s later work </w:t>
      </w:r>
      <w:proofErr w:type="spellStart"/>
      <w:r>
        <w:rPr>
          <w:rStyle w:val="Emphasis"/>
        </w:rPr>
        <w:t>Cantilenae</w:t>
      </w:r>
      <w:proofErr w:type="spellEnd"/>
      <w:r>
        <w:rPr>
          <w:rStyle w:val="Emphasis"/>
        </w:rPr>
        <w:t xml:space="preserve"> </w:t>
      </w:r>
      <w:proofErr w:type="spellStart"/>
      <w:r>
        <w:rPr>
          <w:rStyle w:val="Emphasis"/>
        </w:rPr>
        <w:t>intellectuales</w:t>
      </w:r>
      <w:proofErr w:type="spellEnd"/>
      <w:r>
        <w:t xml:space="preserve"> (Intellectual songs, 1622). As to the </w:t>
      </w:r>
      <w:proofErr w:type="spellStart"/>
      <w:r>
        <w:t>performative</w:t>
      </w:r>
      <w:proofErr w:type="spellEnd"/>
      <w:r>
        <w:t xml:space="preserve"> possibilities of </w:t>
      </w:r>
      <w:proofErr w:type="spellStart"/>
      <w:r>
        <w:rPr>
          <w:rStyle w:val="Emphasis"/>
        </w:rPr>
        <w:t>Atalanta</w:t>
      </w:r>
      <w:proofErr w:type="spellEnd"/>
      <w:r>
        <w:rPr>
          <w:rStyle w:val="Emphasis"/>
        </w:rPr>
        <w:t xml:space="preserve"> </w:t>
      </w:r>
      <w:proofErr w:type="spellStart"/>
      <w:r>
        <w:rPr>
          <w:rStyle w:val="Emphasis"/>
        </w:rPr>
        <w:t>fugiens</w:t>
      </w:r>
      <w:proofErr w:type="spellEnd"/>
      <w:r>
        <w:t>, Bianchi explores how the visual is rendered audible through the musical technique of text painting, or “</w:t>
      </w:r>
      <w:proofErr w:type="spellStart"/>
      <w:r>
        <w:t>madrigalisms</w:t>
      </w:r>
      <w:proofErr w:type="spellEnd"/>
      <w:r>
        <w:t xml:space="preserve">.” This vocal feature of the music also constitutes an important element of Maier’s sensorial delivery of </w:t>
      </w:r>
      <w:proofErr w:type="spellStart"/>
      <w:r>
        <w:t>chymical</w:t>
      </w:r>
      <w:proofErr w:type="spellEnd"/>
      <w:r>
        <w:t xml:space="preserve"> arcana, pointing to underlying relationships among Maier’s music, image, and text — how the images influenced the fugues, for example, or vice versa. Maier’s use of personifications in his musical scores merge </w:t>
      </w:r>
      <w:proofErr w:type="spellStart"/>
      <w:r>
        <w:t>Ovidian</w:t>
      </w:r>
      <w:proofErr w:type="spellEnd"/>
      <w:r>
        <w:t xml:space="preserve"> characters with alchemical philosophy, and the essay by </w:t>
      </w:r>
      <w:hyperlink r:id="rId20" w:tgtFrame="_blank" w:history="1">
        <w:r>
          <w:rPr>
            <w:rStyle w:val="Hyperlink"/>
          </w:rPr>
          <w:t>Peter J. Forshaw</w:t>
        </w:r>
      </w:hyperlink>
      <w:r>
        <w:t xml:space="preserve"> presents a rich </w:t>
      </w:r>
      <w:proofErr w:type="spellStart"/>
      <w:r>
        <w:t>intertextual</w:t>
      </w:r>
      <w:proofErr w:type="spellEnd"/>
      <w:r>
        <w:t xml:space="preserve"> examination of Maier’s use of myth in the context of alchemy. Forshaw elucidates a long tradition of alchemical interpretations of ancient myths, the literary genre known as </w:t>
      </w:r>
      <w:proofErr w:type="spellStart"/>
      <w:r>
        <w:t>mythoalchemy</w:t>
      </w:r>
      <w:proofErr w:type="spellEnd"/>
      <w:r>
        <w:t xml:space="preserve">, which extends from the classical into the early modern period. This historiographical framework sheds new light on Maier’s adaptation of an </w:t>
      </w:r>
      <w:proofErr w:type="spellStart"/>
      <w:r>
        <w:t>Ovidian</w:t>
      </w:r>
      <w:proofErr w:type="spellEnd"/>
      <w:r>
        <w:t xml:space="preserve"> legend as the matrix for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Maier understood hieroglyphs and myths to be transmissions of ancient knowledge and wisdom from the Egyptians to the Greeks, presenting a coded language in which </w:t>
      </w:r>
      <w:proofErr w:type="spellStart"/>
      <w:r>
        <w:t>chymical</w:t>
      </w:r>
      <w:proofErr w:type="spellEnd"/>
      <w:r>
        <w:t xml:space="preserve"> secrets were embedded. Forshaw’s essay places Maier’s use of emblems and the </w:t>
      </w:r>
      <w:proofErr w:type="spellStart"/>
      <w:r>
        <w:t>Atalanta</w:t>
      </w:r>
      <w:proofErr w:type="spellEnd"/>
      <w:r>
        <w:t xml:space="preserve"> story in relation to his earlier </w:t>
      </w:r>
      <w:proofErr w:type="spellStart"/>
      <w:r>
        <w:t>mythoalchemical</w:t>
      </w:r>
      <w:proofErr w:type="spellEnd"/>
      <w:r>
        <w:t xml:space="preserve"> work </w:t>
      </w:r>
      <w:r>
        <w:rPr>
          <w:rStyle w:val="Emphasis"/>
        </w:rPr>
        <w:t xml:space="preserve">Arcana </w:t>
      </w:r>
      <w:proofErr w:type="spellStart"/>
      <w:r>
        <w:rPr>
          <w:rStyle w:val="Emphasis"/>
        </w:rPr>
        <w:t>arcanissima</w:t>
      </w:r>
      <w:proofErr w:type="spellEnd"/>
      <w:r>
        <w:t xml:space="preserve"> (Most secret secrets, 1614), which Forshaw argues is the core of a </w:t>
      </w:r>
      <w:proofErr w:type="spellStart"/>
      <w:r>
        <w:t>mytho-chymical</w:t>
      </w:r>
      <w:proofErr w:type="spellEnd"/>
      <w:r>
        <w:t xml:space="preserve"> project that plays out across several of Maier’s published works.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thus set within a wider alchemical program in which Maier uses myth and symbols to hide knowledge from the vulgar yet at the same time to reveal knowledge to the learned. </w:t>
      </w:r>
    </w:p>
    <w:p w:rsidR="006A2F82" w:rsidRDefault="006A2F82" w:rsidP="006A2F82">
      <w:pPr>
        <w:pStyle w:val="NormalWeb"/>
      </w:pPr>
      <w:r>
        <w:t xml:space="preserve">The final group of essays by Loren Ludwig, Richard </w:t>
      </w:r>
      <w:proofErr w:type="spellStart"/>
      <w:r>
        <w:t>Oosterhoff</w:t>
      </w:r>
      <w:proofErr w:type="spellEnd"/>
      <w:r>
        <w:t xml:space="preserve">, and Donna </w:t>
      </w:r>
      <w:proofErr w:type="spellStart"/>
      <w:r>
        <w:t>Bilak</w:t>
      </w:r>
      <w:proofErr w:type="spellEnd"/>
      <w:r>
        <w:t xml:space="preserve"> explore Maier’s incorporation of music and mathematics into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w:t>
      </w:r>
      <w:hyperlink r:id="rId21" w:tgtFrame="_blank" w:history="1">
        <w:r>
          <w:rPr>
            <w:rStyle w:val="Hyperlink"/>
          </w:rPr>
          <w:t>Loren Ludwig</w:t>
        </w:r>
      </w:hyperlink>
      <w:r>
        <w:t xml:space="preserve"> argues that Maier did not, in fact, compose forty of the fifty “fugues” in this musical alchemical emblem book. Ludwig’s musicological analysis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reveals how Maier repurposed a printed collection of choir exercises by the English composer John Farmer, </w:t>
      </w:r>
      <w:r>
        <w:rPr>
          <w:rStyle w:val="Emphasis"/>
        </w:rPr>
        <w:t xml:space="preserve">Divers &amp; Sundry </w:t>
      </w:r>
      <w:proofErr w:type="spellStart"/>
      <w:r>
        <w:rPr>
          <w:rStyle w:val="Emphasis"/>
        </w:rPr>
        <w:t>Waies</w:t>
      </w:r>
      <w:proofErr w:type="spellEnd"/>
      <w:r>
        <w:t xml:space="preserve"> (1591), thus connecting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to earlier English musical and liturgical traditions. Ludwig’s finding recalibrates our understanding of how the “fugues” in Maier’s book support its alchemical program. This raises important questions about authorship and intentionality, as Maier’s adaptation of Farmer’s </w:t>
      </w:r>
      <w:proofErr w:type="spellStart"/>
      <w:r>
        <w:t>waies</w:t>
      </w:r>
      <w:proofErr w:type="spellEnd"/>
      <w:r>
        <w:t xml:space="preserve"> in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reframes how we might interpret Maier’s curious integration of music in the book. The essay by </w:t>
      </w:r>
      <w:hyperlink r:id="rId22" w:tgtFrame="_blank" w:history="1">
        <w:r>
          <w:rPr>
            <w:rStyle w:val="Hyperlink"/>
          </w:rPr>
          <w:t xml:space="preserve">Richard </w:t>
        </w:r>
        <w:proofErr w:type="spellStart"/>
        <w:r>
          <w:rPr>
            <w:rStyle w:val="Hyperlink"/>
          </w:rPr>
          <w:t>Oosterhoff</w:t>
        </w:r>
        <w:proofErr w:type="spellEnd"/>
      </w:hyperlink>
      <w:r>
        <w:t xml:space="preserve"> explores Maier’s use of mathematics to support his alchemical agenda. </w:t>
      </w:r>
      <w:proofErr w:type="spellStart"/>
      <w:r>
        <w:t>Oosterhoff</w:t>
      </w:r>
      <w:proofErr w:type="spellEnd"/>
      <w:r>
        <w:t xml:space="preserve"> focuses on </w:t>
      </w:r>
      <w:hyperlink r:id="rId23" w:history="1">
        <w:r>
          <w:rPr>
            <w:rStyle w:val="Hyperlink"/>
          </w:rPr>
          <w:t>Emblem 21</w:t>
        </w:r>
      </w:hyperlink>
      <w:r>
        <w:t xml:space="preserve">, which considers the ancient problem of squaring the circle, arguing that Maier dwells on this mathematical example as a sustained commentary on the creation and transformation of knowledge. According to </w:t>
      </w:r>
      <w:proofErr w:type="spellStart"/>
      <w:r>
        <w:t>Oosterhoff</w:t>
      </w:r>
      <w:proofErr w:type="spellEnd"/>
      <w:r>
        <w:t xml:space="preserve">, Maier believed that if human knowledge could begin with the divine spark of inspiration, it must also be cultivated through the dedicated and sustained application of reason and experience, not through instinct, imagination, and phantasy. If squaring the circle was one of the most vexing mathematical problems, it was also, according to </w:t>
      </w:r>
      <w:proofErr w:type="spellStart"/>
      <w:r>
        <w:t>Oosterhoff</w:t>
      </w:r>
      <w:proofErr w:type="spellEnd"/>
      <w:r>
        <w:t xml:space="preserve">, an example par excellence of knowledge that was possible even if not yet attained. In this sense, it became an important model for the possibility of metallic transmutation. At the same time, both desiderata also exposed the tensions, if not contradictions, between what might be possible in theory and what could be achieved in practice. The closing essay presents another viewpoint on Maier’s use of mathematics as a way to probe nature’s secrets. </w:t>
      </w:r>
      <w:hyperlink r:id="rId24" w:tgtFrame="_blank" w:history="1">
        <w:r>
          <w:rPr>
            <w:rStyle w:val="Hyperlink"/>
          </w:rPr>
          <w:t xml:space="preserve">Donna </w:t>
        </w:r>
        <w:proofErr w:type="spellStart"/>
        <w:r>
          <w:rPr>
            <w:rStyle w:val="Hyperlink"/>
          </w:rPr>
          <w:t>Bilak</w:t>
        </w:r>
        <w:proofErr w:type="spellEnd"/>
      </w:hyperlink>
      <w:r>
        <w:t xml:space="preserve"> takes up the question of why Maier configured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around fifty fugue-emblem sets, proposing that Maier may have engineered his musical alchemical emblem book around a concealed mathematical puzzle. Discovery of this puzzle lies in finding and solving clues, “secret signs,” that Maier embedded in the emblems, and doing so effects a numerical transmutation that reshuffles their order.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becomes a game based on the reader’s ability to attain new insights about </w:t>
      </w:r>
      <w:proofErr w:type="spellStart"/>
      <w:r>
        <w:t>chymical</w:t>
      </w:r>
      <w:proofErr w:type="spellEnd"/>
      <w:r>
        <w:t xml:space="preserve"> arcana that the contemplation of new emblem groupings prompt, with the book itself serving as an object that hides Maier’s secret game in plain view. </w:t>
      </w:r>
      <w:proofErr w:type="spellStart"/>
      <w:r>
        <w:t>Bilak’s</w:t>
      </w:r>
      <w:proofErr w:type="spellEnd"/>
      <w:r>
        <w:t xml:space="preserve"> analysis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as a </w:t>
      </w:r>
      <w:proofErr w:type="spellStart"/>
      <w:r>
        <w:t>steganographic</w:t>
      </w:r>
      <w:proofErr w:type="spellEnd"/>
      <w:r>
        <w:t xml:space="preserve"> work invites a reading of Maier’s book in terms of cover text and </w:t>
      </w:r>
      <w:proofErr w:type="spellStart"/>
      <w:r>
        <w:t>ciphertext</w:t>
      </w:r>
      <w:proofErr w:type="spellEnd"/>
      <w:r>
        <w:t xml:space="preserve">, opening up the study of alchemy to contemporary cryptographic practices. </w:t>
      </w:r>
    </w:p>
    <w:p w:rsidR="006A2F82" w:rsidRDefault="006A2F82" w:rsidP="006A2F82">
      <w:pPr>
        <w:pStyle w:val="NormalWeb"/>
      </w:pPr>
      <w:r>
        <w:t xml:space="preserve">Collectively, these seven essays reposition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as a blend of theoretical, </w:t>
      </w:r>
      <w:proofErr w:type="spellStart"/>
      <w:r>
        <w:t>performative</w:t>
      </w:r>
      <w:proofErr w:type="spellEnd"/>
      <w:r>
        <w:t xml:space="preserve">, and practical engagements with nature. Maier is </w:t>
      </w:r>
      <w:proofErr w:type="gramStart"/>
      <w:r>
        <w:t>not the artist nor</w:t>
      </w:r>
      <w:proofErr w:type="gramEnd"/>
      <w:r>
        <w:t xml:space="preserve"> the musician, but he draws on sound and image, as well as mathematics and myth, to construct an alchemical allegory about the search for health and wealth. Moreover, by reordering, </w:t>
      </w:r>
      <w:proofErr w:type="spellStart"/>
      <w:r>
        <w:t>resequencing</w:t>
      </w:r>
      <w:proofErr w:type="spellEnd"/>
      <w:r>
        <w:t xml:space="preserve">, or focusing on different elements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each time they opened the book, Maier’s readers could use it to generate almost endless new insights into nature’s secrets. The multiple parts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as well as the numerous potential ways of reading, seeing, and hearing it, put the book in motion, setting up a hunt for meaning and a dynamic reading practice that transformed it into a complex epistemological tool. </w:t>
      </w:r>
    </w:p>
    <w:p w:rsidR="006A2F82" w:rsidRDefault="006A2F82" w:rsidP="006A2F82">
      <w:pPr>
        <w:pStyle w:val="NormalWeb"/>
      </w:pPr>
      <w:r>
        <w:t xml:space="preserve">At the same time, these essays suggest that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more than an exploration of the synergies, tensions, and intersections among the languages of musical score, copperplate etching, and Latin discourse. Maier may also have intended his book to address shifting anxieties around the early modern disciplines that bridged sense and intellect, theory and practice, scholarship and craft in the early seventeenth century. Music, art, and alchemy grappled with a similar set of tensions. These arts were all framed by theoretical literatures that could be quite abstract and scholarly; as a set of practices, however, each also required knowledge of technique and the material world. The very nature of these mixed arts, therefore, raised questions about whether they were philosophies, crafts, or mixtures of the two, and about how these elements related to one another. These complexities of education, training, praxis, and expertise mirrored social concerns about the positions of the alchemist, the artist, and the musician between court, university, and workshop. Perhaps, these essays suggest,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placed art, alchemy, music, and, more subtly, mathematics in conversation because all of these arts grappled with a similar set of issues about the relationships among different forms of expertise, training, and practice in these mixed disciplines. </w:t>
      </w:r>
    </w:p>
    <w:p w:rsidR="006A2F82" w:rsidRDefault="006A2F82" w:rsidP="006A2F82">
      <w:pPr>
        <w:pStyle w:val="NormalWeb"/>
      </w:pPr>
      <w:r>
        <w:t xml:space="preserve">The essays collected here insist that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must be understood in its original historical context, as an artifact of its author and his early seventeenth-century world. The meaning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however, has always been in the hands of its readers, viewers, listeners, and singers. Indeed, it is impossible to ignore the fact that Maier’s contemporaries almost immediately seemed to want to amend, translate, and even disassemble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thereby reimagining its message for new generations. In fact, a constellation of </w:t>
      </w:r>
      <w:proofErr w:type="spellStart"/>
      <w:r>
        <w:rPr>
          <w:rStyle w:val="Emphasis"/>
        </w:rPr>
        <w:t>Atalanta</w:t>
      </w:r>
      <w:proofErr w:type="spellEnd"/>
      <w:r>
        <w:t xml:space="preserve">-objects began to appear around Maier’s original book already in the seventeenth century, highlighting the desire not simply to sit down and read the text but rather to repurpose it for new contexts. Some individuals created their own customized copies, presumably for private use. The creators of the copies in the </w:t>
      </w:r>
      <w:hyperlink r:id="rId25" w:tgtFrame="_blank" w:history="1">
        <w:proofErr w:type="spellStart"/>
        <w:r>
          <w:rPr>
            <w:rStyle w:val="Hyperlink"/>
          </w:rPr>
          <w:t>Bibliothèque</w:t>
        </w:r>
        <w:proofErr w:type="spellEnd"/>
        <w:r>
          <w:rPr>
            <w:rStyle w:val="Hyperlink"/>
          </w:rPr>
          <w:t xml:space="preserve"> </w:t>
        </w:r>
        <w:proofErr w:type="spellStart"/>
        <w:r>
          <w:rPr>
            <w:rStyle w:val="Hyperlink"/>
          </w:rPr>
          <w:t>nationale</w:t>
        </w:r>
        <w:proofErr w:type="spellEnd"/>
        <w:r>
          <w:rPr>
            <w:rStyle w:val="Hyperlink"/>
          </w:rPr>
          <w:t xml:space="preserve"> de France</w:t>
        </w:r>
      </w:hyperlink>
      <w:r>
        <w:t xml:space="preserve"> and the </w:t>
      </w:r>
      <w:hyperlink r:id="rId26" w:tgtFrame="_blank" w:history="1">
        <w:r>
          <w:rPr>
            <w:rStyle w:val="Hyperlink"/>
          </w:rPr>
          <w:t xml:space="preserve">Donald F. and Mildred </w:t>
        </w:r>
        <w:proofErr w:type="spellStart"/>
        <w:r>
          <w:rPr>
            <w:rStyle w:val="Hyperlink"/>
          </w:rPr>
          <w:t>Topp</w:t>
        </w:r>
        <w:proofErr w:type="spellEnd"/>
        <w:r>
          <w:rPr>
            <w:rStyle w:val="Hyperlink"/>
          </w:rPr>
          <w:t xml:space="preserve"> </w:t>
        </w:r>
        <w:proofErr w:type="spellStart"/>
        <w:r>
          <w:rPr>
            <w:rStyle w:val="Hyperlink"/>
          </w:rPr>
          <w:t>Othmer</w:t>
        </w:r>
        <w:proofErr w:type="spellEnd"/>
        <w:r>
          <w:rPr>
            <w:rStyle w:val="Hyperlink"/>
          </w:rPr>
          <w:t xml:space="preserve"> Library of Chemical History</w:t>
        </w:r>
      </w:hyperlink>
      <w:r>
        <w:t>, for example, had them hand-colored, turning black-and-white etchings into verdant landscapes, azure skies, glowing fires, and vibrant, multicolored costumes (</w:t>
      </w:r>
      <w:r>
        <w:rPr>
          <w:rStyle w:val="Strong"/>
        </w:rPr>
        <w:t>figs. 1 and 2</w:t>
      </w:r>
      <w:r>
        <w:t>).</w:t>
      </w:r>
      <w:hyperlink r:id="rId27" w:history="1">
        <w:r>
          <w:rPr>
            <w:rStyle w:val="Hyperlink"/>
            <w:vertAlign w:val="superscript"/>
          </w:rPr>
          <w:t>7</w:t>
        </w:r>
      </w:hyperlink>
      <w:r>
        <w:t xml:space="preserve"> </w:t>
      </w:r>
    </w:p>
    <w:p w:rsidR="006A2F82" w:rsidRDefault="006A2F82" w:rsidP="006A2F82">
      <w:pPr>
        <w:rPr>
          <w:rStyle w:val="title"/>
        </w:rPr>
      </w:pPr>
      <w:r>
        <w:rPr>
          <w:noProof/>
        </w:rPr>
        <w:drawing>
          <wp:inline distT="0" distB="0" distL="0" distR="0">
            <wp:extent cx="4324350" cy="5867400"/>
            <wp:effectExtent l="0" t="0" r="0" b="0"/>
            <wp:docPr id="5" name="Picture 5" descr="The second page of emblem 33 from Atalanta fugiens shows a motto and epigram in Latin and an image. In the image, a nude hermaphrodite is lying on a table over a fire with smoke during an ec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cond page of emblem 33 from Atalanta fugiens shows a motto and epigram in Latin and an image. In the image, a nude hermaphrodite is lying on a table over a fire with smoke during an eclip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5867400"/>
                    </a:xfrm>
                    <a:prstGeom prst="rect">
                      <a:avLst/>
                    </a:prstGeom>
                    <a:noFill/>
                    <a:ln>
                      <a:noFill/>
                    </a:ln>
                  </pic:spPr>
                </pic:pic>
              </a:graphicData>
            </a:graphic>
          </wp:inline>
        </w:drawing>
      </w:r>
      <w:r>
        <w:rPr>
          <w:rStyle w:val="title"/>
        </w:rPr>
        <w:t>Figure 1</w:t>
      </w:r>
    </w:p>
    <w:p w:rsidR="006A2F82" w:rsidRDefault="006A2F82" w:rsidP="006A2F82">
      <w:r>
        <w:t xml:space="preserve"> </w:t>
      </w:r>
      <w:r>
        <w:rPr>
          <w:noProof/>
        </w:rPr>
        <w:drawing>
          <wp:inline distT="0" distB="0" distL="0" distR="0">
            <wp:extent cx="4324350" cy="5962650"/>
            <wp:effectExtent l="0" t="0" r="0" b="0"/>
            <wp:docPr id="4" name="Picture 4" descr="The second page of emblem 5 from Atalanta fugiens shows a motto and epigram in Latin and an image. In the image, a bearded man in classical clothing is foisting a toad towards a woman’s breast to nurse. In the background of the courtyard, two men and a dog are walking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econd page of emblem 5 from Atalanta fugiens shows a motto and epigram in Latin and an image. In the image, a bearded man in classical clothing is foisting a toad towards a woman’s breast to nurse. In the background of the courtyard, two men and a dog are walking awa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5962650"/>
                    </a:xfrm>
                    <a:prstGeom prst="rect">
                      <a:avLst/>
                    </a:prstGeom>
                    <a:noFill/>
                    <a:ln>
                      <a:noFill/>
                    </a:ln>
                  </pic:spPr>
                </pic:pic>
              </a:graphicData>
            </a:graphic>
          </wp:inline>
        </w:drawing>
      </w:r>
      <w:r>
        <w:rPr>
          <w:rStyle w:val="title"/>
        </w:rPr>
        <w:t>Figure 2</w:t>
      </w:r>
      <w:r>
        <w:t xml:space="preserve"> </w:t>
      </w:r>
    </w:p>
    <w:p w:rsidR="006A2F82" w:rsidRDefault="006A2F82" w:rsidP="006A2F82">
      <w:pPr>
        <w:pStyle w:val="NormalWeb"/>
      </w:pPr>
      <w:r>
        <w:t>Others replaced Maier’s Latin and German text with French or English translations, copying their new vernacular mottos, epigrams, and discourses — but not, notably, the fugues that originally accompanied them — into private miscellanies alongside other standard works from the centuries-old alchemical corpus (</w:t>
      </w:r>
      <w:r>
        <w:rPr>
          <w:rStyle w:val="Strong"/>
        </w:rPr>
        <w:t>fig. 3</w:t>
      </w:r>
      <w:r>
        <w:t xml:space="preserve">). </w:t>
      </w:r>
    </w:p>
    <w:p w:rsidR="006A2F82" w:rsidRDefault="006A2F82" w:rsidP="006A2F82">
      <w:r>
        <w:rPr>
          <w:noProof/>
        </w:rPr>
        <w:drawing>
          <wp:inline distT="0" distB="0" distL="0" distR="0">
            <wp:extent cx="4324350" cy="7439025"/>
            <wp:effectExtent l="0" t="0" r="0" b="9525"/>
            <wp:docPr id="3" name="Picture 3" descr="A manuscript page from a French translation of Maier’s text contains a hand-painted emblem of a man trawling for coral with a hook in a b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nuscript page from a French translation of Maier’s text contains a hand-painted emblem of a man trawling for coral with a hook in a bo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4350" cy="7439025"/>
                    </a:xfrm>
                    <a:prstGeom prst="rect">
                      <a:avLst/>
                    </a:prstGeom>
                    <a:noFill/>
                    <a:ln>
                      <a:noFill/>
                    </a:ln>
                  </pic:spPr>
                </pic:pic>
              </a:graphicData>
            </a:graphic>
          </wp:inline>
        </w:drawing>
      </w:r>
      <w:r>
        <w:rPr>
          <w:rStyle w:val="title"/>
        </w:rPr>
        <w:t>Figure 3</w:t>
      </w:r>
      <w:r>
        <w:t xml:space="preserve"> </w:t>
      </w:r>
    </w:p>
    <w:p w:rsidR="006A2F82" w:rsidRDefault="006A2F82" w:rsidP="006A2F82">
      <w:pPr>
        <w:pStyle w:val="NormalWeb"/>
      </w:pPr>
      <w:r>
        <w:t>One translator may have had a more public audience in mind for his English version, “</w:t>
      </w:r>
      <w:proofErr w:type="spellStart"/>
      <w:r>
        <w:t>Atalanta</w:t>
      </w:r>
      <w:proofErr w:type="spellEnd"/>
      <w:r>
        <w:t xml:space="preserve"> running, that is, new </w:t>
      </w:r>
      <w:proofErr w:type="spellStart"/>
      <w:r>
        <w:t>chymicall</w:t>
      </w:r>
      <w:proofErr w:type="spellEnd"/>
      <w:r>
        <w:t xml:space="preserve"> emblems relating to the secrets of nature,” which included the mottos, epigrams, and discourses, but not the images or the music (</w:t>
      </w:r>
      <w:r>
        <w:rPr>
          <w:rStyle w:val="Strong"/>
        </w:rPr>
        <w:t>fig. 4</w:t>
      </w:r>
      <w:r>
        <w:t xml:space="preserve">). Now in the </w:t>
      </w:r>
      <w:hyperlink r:id="rId31" w:tgtFrame="_blank" w:history="1">
        <w:proofErr w:type="spellStart"/>
        <w:r>
          <w:rPr>
            <w:rStyle w:val="Hyperlink"/>
          </w:rPr>
          <w:t>Beinecke</w:t>
        </w:r>
        <w:proofErr w:type="spellEnd"/>
        <w:r>
          <w:rPr>
            <w:rStyle w:val="Hyperlink"/>
          </w:rPr>
          <w:t xml:space="preserve"> Rare Book and Manuscript Library at Yale University</w:t>
        </w:r>
      </w:hyperlink>
      <w:r>
        <w:t>, this manuscript looks as if it may have been a fair copy intended for the printing press rather than a manuscript for private use, and we use it here as the English translation in our digital edition.</w:t>
      </w:r>
      <w:hyperlink r:id="rId32" w:history="1">
        <w:r>
          <w:rPr>
            <w:rStyle w:val="Hyperlink"/>
            <w:vertAlign w:val="superscript"/>
          </w:rPr>
          <w:t>8</w:t>
        </w:r>
      </w:hyperlink>
      <w:r>
        <w:t xml:space="preserve"> </w:t>
      </w:r>
    </w:p>
    <w:p w:rsidR="006A2F82" w:rsidRDefault="006A2F82" w:rsidP="006A2F82">
      <w:r>
        <w:rPr>
          <w:noProof/>
        </w:rPr>
        <w:drawing>
          <wp:inline distT="0" distB="0" distL="0" distR="0">
            <wp:extent cx="4324350" cy="7277100"/>
            <wp:effectExtent l="0" t="0" r="0" b="0"/>
            <wp:docPr id="2" name="Picture 2" descr="An unillustrated manuscript page from an English translation of Maier’s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unillustrated manuscript page from an English translation of Maier’s tex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4350" cy="7277100"/>
                    </a:xfrm>
                    <a:prstGeom prst="rect">
                      <a:avLst/>
                    </a:prstGeom>
                    <a:noFill/>
                    <a:ln>
                      <a:noFill/>
                    </a:ln>
                  </pic:spPr>
                </pic:pic>
              </a:graphicData>
            </a:graphic>
          </wp:inline>
        </w:drawing>
      </w:r>
      <w:r>
        <w:rPr>
          <w:rStyle w:val="title"/>
        </w:rPr>
        <w:t>Figure 4</w:t>
      </w:r>
      <w:r>
        <w:t xml:space="preserve"> </w:t>
      </w:r>
    </w:p>
    <w:p w:rsidR="006A2F82" w:rsidRDefault="006A2F82" w:rsidP="006A2F82">
      <w:pPr>
        <w:pStyle w:val="NormalWeb"/>
      </w:pPr>
      <w:r>
        <w:t>Yet neither “</w:t>
      </w:r>
      <w:proofErr w:type="spellStart"/>
      <w:r>
        <w:t>Atalanta</w:t>
      </w:r>
      <w:proofErr w:type="spellEnd"/>
      <w:r>
        <w:t xml:space="preserve"> running” nor any of the other vernacular translations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made it into print in the seventeenth century; instead, they remained in private manuscript collections or perhaps were exchanged among friends in the scholarly networks that extended across the early modern intellectual community known as the Republic of Letters.</w:t>
      </w:r>
      <w:hyperlink r:id="rId34" w:history="1">
        <w:r>
          <w:rPr>
            <w:rStyle w:val="Hyperlink"/>
            <w:vertAlign w:val="superscript"/>
          </w:rPr>
          <w:t>9</w:t>
        </w:r>
      </w:hyperlink>
      <w:r>
        <w:t xml:space="preserve"> The fact that none of these manuscripts included the music suggests that they may date from the late seventeenth century, possibly modeled on a reconfigured printed version of Maier’s original that appeared in 1687 under a new title: </w:t>
      </w:r>
      <w:proofErr w:type="spellStart"/>
      <w:r>
        <w:rPr>
          <w:rStyle w:val="Emphasis"/>
        </w:rPr>
        <w:t>Secretioris</w:t>
      </w:r>
      <w:proofErr w:type="spellEnd"/>
      <w:r>
        <w:rPr>
          <w:rStyle w:val="Emphasis"/>
        </w:rPr>
        <w:t xml:space="preserve"> </w:t>
      </w:r>
      <w:proofErr w:type="spellStart"/>
      <w:r>
        <w:rPr>
          <w:rStyle w:val="Emphasis"/>
        </w:rPr>
        <w:t>naturae</w:t>
      </w:r>
      <w:proofErr w:type="spellEnd"/>
      <w:r>
        <w:rPr>
          <w:rStyle w:val="Emphasis"/>
        </w:rPr>
        <w:t xml:space="preserve"> </w:t>
      </w:r>
      <w:proofErr w:type="spellStart"/>
      <w:r>
        <w:rPr>
          <w:rStyle w:val="Emphasis"/>
        </w:rPr>
        <w:t>secretorum</w:t>
      </w:r>
      <w:proofErr w:type="spellEnd"/>
      <w:r>
        <w:rPr>
          <w:rStyle w:val="Emphasis"/>
        </w:rPr>
        <w:t xml:space="preserve"> </w:t>
      </w:r>
      <w:proofErr w:type="spellStart"/>
      <w:r>
        <w:rPr>
          <w:rStyle w:val="Emphasis"/>
        </w:rPr>
        <w:t>scrutinium</w:t>
      </w:r>
      <w:proofErr w:type="spellEnd"/>
      <w:r>
        <w:rPr>
          <w:rStyle w:val="Emphasis"/>
        </w:rPr>
        <w:t xml:space="preserve"> </w:t>
      </w:r>
      <w:proofErr w:type="spellStart"/>
      <w:r>
        <w:rPr>
          <w:rStyle w:val="Emphasis"/>
        </w:rPr>
        <w:t>chymicum</w:t>
      </w:r>
      <w:proofErr w:type="spellEnd"/>
      <w:r>
        <w:t xml:space="preserve"> (The </w:t>
      </w:r>
      <w:proofErr w:type="spellStart"/>
      <w:r>
        <w:t>chymical</w:t>
      </w:r>
      <w:proofErr w:type="spellEnd"/>
      <w:r>
        <w:t xml:space="preserve"> investigation of the most secret nature of secrets). The publisher, Georg Heinrich </w:t>
      </w:r>
      <w:proofErr w:type="spellStart"/>
      <w:r>
        <w:t>Oehrling</w:t>
      </w:r>
      <w:proofErr w:type="spellEnd"/>
      <w:r>
        <w:t xml:space="preserve">, dropped not only Maier’s original title page and the vignettes detailing scenes from the </w:t>
      </w:r>
      <w:proofErr w:type="spellStart"/>
      <w:r>
        <w:t>Ovidian</w:t>
      </w:r>
      <w:proofErr w:type="spellEnd"/>
      <w:r>
        <w:t xml:space="preserve"> </w:t>
      </w:r>
      <w:proofErr w:type="spellStart"/>
      <w:r>
        <w:t>Atalanta</w:t>
      </w:r>
      <w:proofErr w:type="spellEnd"/>
      <w:r>
        <w:t xml:space="preserve"> story that framed it but also one part of each emblem set: the page with the music and the German translations of the Latin mottos and epigrams.</w:t>
      </w:r>
      <w:hyperlink r:id="rId35" w:history="1">
        <w:r>
          <w:rPr>
            <w:rStyle w:val="Hyperlink"/>
            <w:vertAlign w:val="superscript"/>
          </w:rPr>
          <w:t>10</w:t>
        </w:r>
      </w:hyperlink>
      <w:r>
        <w:t xml:space="preserve"> These changes radically transformed the book’s original program. In this 1687 edition,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was no longer about sound and sight; the reader was no longer also a listener. The removal of the music ended up placing greater emphasis on the emblems and discourses. Like the anonymous authors of the French and English manuscript variants, </w:t>
      </w:r>
      <w:proofErr w:type="spellStart"/>
      <w:r>
        <w:t>Oehrling</w:t>
      </w:r>
      <w:proofErr w:type="spellEnd"/>
      <w:r>
        <w:t xml:space="preserve"> may have had any number of reasons to make these changes, not least of which was the cost of printing music or duplicative German. It had also been about seventy years since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first appeared, and the social, intellectual, and political context that shaped Maier’s original book had changed, too. Natural philosophy was increasingly institutionalized in scientific societies and journals, which played a crucial role in determining how (and how not) to write about nature. At the same time, the alchemical middle ground between art, science, literature, and music that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occupied had also begun to pull apart. Parts of alchemy were increasingly being reframed as modern chemistry, while others were left behind or moved out of scientific and medical discourse altogether. </w:t>
      </w:r>
    </w:p>
    <w:p w:rsidR="006A2F82" w:rsidRDefault="006A2F82" w:rsidP="006A2F82">
      <w:pPr>
        <w:pStyle w:val="NormalWeb"/>
      </w:pPr>
      <w:r>
        <w:t xml:space="preserve">These early manuscript and print adaptations suggest that it was often Maier’s text that held the most appeal for his earliest readers, who could sometimes do without the music and even the images. In at least one instance, however, it was the images that held the most appeal. The Bibliotheca </w:t>
      </w:r>
      <w:proofErr w:type="spellStart"/>
      <w:r>
        <w:t>Hermetica</w:t>
      </w:r>
      <w:proofErr w:type="spellEnd"/>
      <w:r>
        <w:t xml:space="preserve"> </w:t>
      </w:r>
      <w:proofErr w:type="spellStart"/>
      <w:r>
        <w:t>Philosophica</w:t>
      </w:r>
      <w:proofErr w:type="spellEnd"/>
      <w:r>
        <w:t xml:space="preserve"> in Amsterdam holds three seventeenth-century oak panels with oil paintings depicting figures from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mingling with figures from two other early modern alchemical texts, Basil Valentine’s </w:t>
      </w:r>
      <w:proofErr w:type="spellStart"/>
      <w:r>
        <w:rPr>
          <w:rStyle w:val="Emphasis"/>
        </w:rPr>
        <w:t>Practica</w:t>
      </w:r>
      <w:proofErr w:type="spellEnd"/>
      <w:r>
        <w:rPr>
          <w:rStyle w:val="Emphasis"/>
        </w:rPr>
        <w:t xml:space="preserve"> cum </w:t>
      </w:r>
      <w:proofErr w:type="spellStart"/>
      <w:r>
        <w:rPr>
          <w:rStyle w:val="Emphasis"/>
        </w:rPr>
        <w:t>duodecim</w:t>
      </w:r>
      <w:proofErr w:type="spellEnd"/>
      <w:r>
        <w:rPr>
          <w:rStyle w:val="Emphasis"/>
        </w:rPr>
        <w:t xml:space="preserve"> </w:t>
      </w:r>
      <w:proofErr w:type="spellStart"/>
      <w:r>
        <w:rPr>
          <w:rStyle w:val="Emphasis"/>
        </w:rPr>
        <w:t>clavibus</w:t>
      </w:r>
      <w:proofErr w:type="spellEnd"/>
      <w:r>
        <w:t xml:space="preserve"> (Twelve keys, 1677) and Johann Daniel </w:t>
      </w:r>
      <w:proofErr w:type="spellStart"/>
      <w:r>
        <w:t>Mylius’s</w:t>
      </w:r>
      <w:proofErr w:type="spellEnd"/>
      <w:r>
        <w:t xml:space="preserve"> </w:t>
      </w:r>
      <w:proofErr w:type="spellStart"/>
      <w:r>
        <w:rPr>
          <w:rStyle w:val="Emphasis"/>
        </w:rPr>
        <w:t>Philosophia</w:t>
      </w:r>
      <w:proofErr w:type="spellEnd"/>
      <w:r>
        <w:rPr>
          <w:rStyle w:val="Emphasis"/>
        </w:rPr>
        <w:t xml:space="preserve"> </w:t>
      </w:r>
      <w:proofErr w:type="spellStart"/>
      <w:r>
        <w:rPr>
          <w:rStyle w:val="Emphasis"/>
        </w:rPr>
        <w:t>reformata</w:t>
      </w:r>
      <w:proofErr w:type="spellEnd"/>
      <w:r>
        <w:t xml:space="preserve"> (Philosophy reformed; 1622).</w:t>
      </w:r>
      <w:hyperlink r:id="rId36" w:history="1">
        <w:r>
          <w:rPr>
            <w:rStyle w:val="Hyperlink"/>
            <w:vertAlign w:val="superscript"/>
          </w:rPr>
          <w:t>11</w:t>
        </w:r>
      </w:hyperlink>
      <w:r>
        <w:t xml:space="preserve"> These intriguing objects allowed the images in these three well-known alchemical texts to float free entirely of the words that once accompanied them, creating new visual schemes that referenced their original contexts only enigmatically and underscored alchemy’s potential as a purely symbolic language. </w:t>
      </w:r>
    </w:p>
    <w:p w:rsidR="006A2F82" w:rsidRDefault="006A2F82" w:rsidP="006A2F82">
      <w:pPr>
        <w:pStyle w:val="NormalWeb"/>
      </w:pPr>
      <w:proofErr w:type="gramStart"/>
      <w:r>
        <w:t>Words without music, images without text.</w:t>
      </w:r>
      <w:proofErr w:type="gramEnd"/>
      <w:r>
        <w:t xml:space="preserve"> These seventeenth-century adaptations of Maier’s original point to a quality of the book that shaped the responses of even its first readers and that, we argue, has ensured that the book remains of interest today. Assembled out of discrete units of music, image, and text,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depends on its combination of media, its appeal to multiple senses, and its promise that only this particular assemblage can serve its aim: namely, to ponder the relationship between the senses and the intellect, and to reveal insights into nature both practical and philosophical. At the same time, the book also encourages its readers to take it apart, to reshuffle, select, and reimagine its elements. It was and is a book in parts, and this fundamental fact continues to inspire and interest users today. Modern readers continue to be drawn to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for these reasons, as well as for the book’s beauty, arresting images, music, and enigmatic content. Contemporary artists have reimagined the form of Maier’s book and its images</w:t>
      </w:r>
      <w:proofErr w:type="gramStart"/>
      <w:r>
        <w:t>,</w:t>
      </w:r>
      <w:proofErr w:type="gramEnd"/>
      <w:r>
        <w:rPr>
          <w:vertAlign w:val="superscript"/>
        </w:rPr>
        <w:fldChar w:fldCharType="begin"/>
      </w:r>
      <w:r>
        <w:rPr>
          <w:vertAlign w:val="superscript"/>
        </w:rPr>
        <w:instrText xml:space="preserve"> HYPERLINK "https://furnaceandfugue.org/essays/introduction/" </w:instrText>
      </w:r>
      <w:r>
        <w:rPr>
          <w:vertAlign w:val="superscript"/>
        </w:rPr>
        <w:fldChar w:fldCharType="separate"/>
      </w:r>
      <w:r>
        <w:rPr>
          <w:rStyle w:val="Hyperlink"/>
          <w:vertAlign w:val="superscript"/>
        </w:rPr>
        <w:t>12</w:t>
      </w:r>
      <w:r>
        <w:rPr>
          <w:vertAlign w:val="superscript"/>
        </w:rPr>
        <w:fldChar w:fldCharType="end"/>
      </w:r>
      <w:r>
        <w:t xml:space="preserve"> while musicians continue to perform, record, and be inspired by the fugues.</w:t>
      </w:r>
      <w:hyperlink r:id="rId37" w:history="1">
        <w:r>
          <w:rPr>
            <w:rStyle w:val="Hyperlink"/>
            <w:vertAlign w:val="superscript"/>
          </w:rPr>
          <w:t>13</w:t>
        </w:r>
      </w:hyperlink>
      <w:r>
        <w:t xml:space="preserve"> Browsing Apple’s iTunes Store or </w:t>
      </w:r>
      <w:proofErr w:type="spellStart"/>
      <w:r>
        <w:t>Bandcamp</w:t>
      </w:r>
      <w:proofErr w:type="spellEnd"/>
      <w:r>
        <w:t>, one can find recordings of Maier’s music in period style as well as electronic and electroacoustic or metal versions. A search for #</w:t>
      </w:r>
      <w:proofErr w:type="spellStart"/>
      <w:r>
        <w:t>atalantafugiens</w:t>
      </w:r>
      <w:proofErr w:type="spellEnd"/>
      <w:r>
        <w:t xml:space="preserve"> on </w:t>
      </w:r>
      <w:proofErr w:type="spellStart"/>
      <w:r>
        <w:t>Instagram</w:t>
      </w:r>
      <w:proofErr w:type="spellEnd"/>
      <w:r>
        <w:t xml:space="preserve"> or Twitter reveals the book’s ongoing appeal to </w:t>
      </w:r>
      <w:proofErr w:type="spellStart"/>
      <w:r>
        <w:t>Rosicrucians</w:t>
      </w:r>
      <w:proofErr w:type="spellEnd"/>
      <w:r>
        <w:t>, alchemists, and others who see it as an important repository of information about alchemical theories, imagery, and texts.</w:t>
      </w:r>
      <w:hyperlink r:id="rId38" w:history="1">
        <w:r>
          <w:rPr>
            <w:rStyle w:val="Hyperlink"/>
            <w:vertAlign w:val="superscript"/>
          </w:rPr>
          <w:t>14</w:t>
        </w:r>
      </w:hyperlink>
      <w:r>
        <w:t xml:space="preserve"> The unusual longevity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is certainly noteworthy, raising pressing questions about why and how particular elements of early modern culture continue to resonate with twenty-first-century audiences while others fade away. </w:t>
      </w:r>
      <w:hyperlink r:id="rId39" w:tgtFrame="_blank" w:history="1">
        <w:r>
          <w:rPr>
            <w:rStyle w:val="Hyperlink"/>
          </w:rPr>
          <w:t>Our own digital edition</w:t>
        </w:r>
      </w:hyperlink>
      <w:r>
        <w:t xml:space="preserve"> is, in a sense, part of the long afterlife of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and should be understood in this context. These accompanying essays are meant to anchor the edition historically, to frame users’ explorations of Maier’s extraordinary book as a dialogue between Maier’s world and our own. </w:t>
      </w:r>
    </w:p>
    <w:p w:rsidR="006A2F82" w:rsidRDefault="006A2F82" w:rsidP="006A2F82">
      <w:pPr>
        <w:pStyle w:val="NormalWeb"/>
      </w:pPr>
      <w:r>
        <w:t xml:space="preserve">While alchemy is no longer part of modern science, perhaps, it continues to appeal </w:t>
      </w:r>
      <w:proofErr w:type="gramStart"/>
      <w:r>
        <w:t>to</w:t>
      </w:r>
      <w:proofErr w:type="gramEnd"/>
      <w:r>
        <w:t xml:space="preserve"> many as a world we have lost. Some today are drawn to alchemy as a scientific discourse unafraid of reaching for the most profound divine or cosmic wisdom, while others might value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for its elevation of play as a productive epistemology, in contrast to our more sober modern science. For our part, we appreciate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for the way that it invites readers, viewers, listeners, and singers into an early modern landscape of knowledge, where a singer and an alchemist might have more in common than we would think, and where a golden apple might cause us all to pause, to tarry, and to consider nature’s secrets. </w:t>
      </w:r>
    </w:p>
    <w:p w:rsidR="006A2F82" w:rsidRDefault="006A2F82" w:rsidP="006A2F82">
      <w:pPr>
        <w:pStyle w:val="Heading2"/>
      </w:pPr>
      <w:r>
        <w:t>Illustrations</w:t>
      </w:r>
    </w:p>
    <w:p w:rsidR="006A2F82" w:rsidRDefault="006A2F82" w:rsidP="006A2F82">
      <w:pPr>
        <w:numPr>
          <w:ilvl w:val="0"/>
          <w:numId w:val="3"/>
        </w:numPr>
        <w:spacing w:before="100" w:beforeAutospacing="1" w:after="100" w:afterAutospacing="1" w:line="240" w:lineRule="auto"/>
      </w:pPr>
      <w:r>
        <w:rPr>
          <w:rStyle w:val="Strong"/>
        </w:rPr>
        <w:t>Figure 1</w:t>
      </w:r>
      <w:r>
        <w:br/>
        <w:t xml:space="preserve">Emblem 33, </w:t>
      </w:r>
      <w:proofErr w:type="spellStart"/>
      <w:r>
        <w:rPr>
          <w:rStyle w:val="Emphasis"/>
        </w:rPr>
        <w:t>Atalanta</w:t>
      </w:r>
      <w:proofErr w:type="spellEnd"/>
      <w:r>
        <w:rPr>
          <w:rStyle w:val="Emphasis"/>
        </w:rPr>
        <w:t xml:space="preserve"> </w:t>
      </w:r>
      <w:proofErr w:type="spellStart"/>
      <w:r>
        <w:rPr>
          <w:rStyle w:val="Emphasis"/>
        </w:rPr>
        <w:t>fugiens</w:t>
      </w:r>
      <w:proofErr w:type="spellEnd"/>
      <w:r>
        <w:t>. (gallica.bnf.fr/</w:t>
      </w:r>
      <w:proofErr w:type="spellStart"/>
      <w:r>
        <w:t>Bibliothèque</w:t>
      </w:r>
      <w:proofErr w:type="spellEnd"/>
      <w:r>
        <w:t xml:space="preserve"> </w:t>
      </w:r>
      <w:proofErr w:type="spellStart"/>
      <w:r>
        <w:t>nationale</w:t>
      </w:r>
      <w:proofErr w:type="spellEnd"/>
      <w:r>
        <w:t xml:space="preserve"> de France) </w:t>
      </w:r>
    </w:p>
    <w:p w:rsidR="006A2F82" w:rsidRDefault="006A2F82" w:rsidP="006A2F82">
      <w:pPr>
        <w:numPr>
          <w:ilvl w:val="0"/>
          <w:numId w:val="3"/>
        </w:numPr>
        <w:spacing w:before="100" w:beforeAutospacing="1" w:after="100" w:afterAutospacing="1" w:line="240" w:lineRule="auto"/>
      </w:pPr>
      <w:r>
        <w:rPr>
          <w:rStyle w:val="Strong"/>
        </w:rPr>
        <w:t>Figure 2</w:t>
      </w:r>
      <w:r>
        <w:br/>
        <w:t xml:space="preserve">Emblem 5,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(Science History Institute) </w:t>
      </w:r>
    </w:p>
    <w:p w:rsidR="006A2F82" w:rsidRDefault="006A2F82" w:rsidP="006A2F82">
      <w:pPr>
        <w:numPr>
          <w:ilvl w:val="0"/>
          <w:numId w:val="3"/>
        </w:numPr>
        <w:spacing w:before="100" w:beforeAutospacing="1" w:after="100" w:afterAutospacing="1" w:line="240" w:lineRule="auto"/>
      </w:pPr>
      <w:r>
        <w:rPr>
          <w:rStyle w:val="Strong"/>
        </w:rPr>
        <w:t>Figure 3</w:t>
      </w:r>
      <w:r>
        <w:br/>
        <w:t xml:space="preserve">Emblem 32,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(Getty Research Institute and Palatino Press) </w:t>
      </w:r>
    </w:p>
    <w:p w:rsidR="006A2F82" w:rsidRDefault="006A2F82" w:rsidP="006A2F82">
      <w:pPr>
        <w:numPr>
          <w:ilvl w:val="0"/>
          <w:numId w:val="3"/>
        </w:numPr>
        <w:spacing w:before="100" w:beforeAutospacing="1" w:after="100" w:afterAutospacing="1" w:line="240" w:lineRule="auto"/>
      </w:pPr>
      <w:r>
        <w:rPr>
          <w:rStyle w:val="Strong"/>
        </w:rPr>
        <w:t>Figure 4</w:t>
      </w:r>
      <w:r>
        <w:br/>
        <w:t xml:space="preserve">“The first </w:t>
      </w:r>
      <w:proofErr w:type="spellStart"/>
      <w:r>
        <w:t>Embleme</w:t>
      </w:r>
      <w:proofErr w:type="spellEnd"/>
      <w:r>
        <w:t xml:space="preserve">,” </w:t>
      </w:r>
      <w:proofErr w:type="spellStart"/>
      <w:r>
        <w:rPr>
          <w:rStyle w:val="Emphasis"/>
        </w:rPr>
        <w:t>Atalanta</w:t>
      </w:r>
      <w:proofErr w:type="spellEnd"/>
      <w:r>
        <w:rPr>
          <w:rStyle w:val="Emphasis"/>
        </w:rPr>
        <w:t xml:space="preserve"> </w:t>
      </w:r>
      <w:proofErr w:type="spellStart"/>
      <w:r>
        <w:rPr>
          <w:rStyle w:val="Emphasis"/>
        </w:rPr>
        <w:t>fugiens</w:t>
      </w:r>
      <w:proofErr w:type="spellEnd"/>
      <w:r>
        <w:t>. (</w:t>
      </w:r>
      <w:proofErr w:type="spellStart"/>
      <w:r>
        <w:t>Beinecke</w:t>
      </w:r>
      <w:proofErr w:type="spellEnd"/>
      <w:r>
        <w:t xml:space="preserve"> Rare Book and Manuscript Library, Yale University) </w:t>
      </w:r>
    </w:p>
    <w:p w:rsidR="006A2F82" w:rsidRDefault="006A2F82" w:rsidP="006A2F82">
      <w:pPr>
        <w:pStyle w:val="Heading2"/>
      </w:pPr>
      <w:r>
        <w:t>Works Cited</w:t>
      </w:r>
    </w:p>
    <w:p w:rsidR="006A2F82" w:rsidRDefault="006A2F82" w:rsidP="006A2F82">
      <w:r>
        <w:rPr>
          <w:rStyle w:val="title"/>
        </w:rPr>
        <w:t xml:space="preserve">Primary Sources </w:t>
      </w:r>
    </w:p>
    <w:p w:rsidR="006A2F82" w:rsidRDefault="006A2F82" w:rsidP="006A2F82">
      <w:r>
        <w:rPr>
          <w:rStyle w:val="sources-text"/>
        </w:rPr>
        <w:t xml:space="preserve">Maier, Michael. </w:t>
      </w:r>
      <w:proofErr w:type="gramStart"/>
      <w:r>
        <w:rPr>
          <w:rStyle w:val="sources-text"/>
        </w:rPr>
        <w:t>“</w:t>
      </w:r>
      <w:proofErr w:type="spellStart"/>
      <w:r>
        <w:rPr>
          <w:rStyle w:val="sources-text"/>
        </w:rPr>
        <w:t>Atalanta</w:t>
      </w:r>
      <w:proofErr w:type="spellEnd"/>
      <w:r>
        <w:rPr>
          <w:rStyle w:val="sources-text"/>
        </w:rPr>
        <w:t xml:space="preserve"> </w:t>
      </w:r>
      <w:proofErr w:type="spellStart"/>
      <w:r>
        <w:rPr>
          <w:rStyle w:val="sources-text"/>
        </w:rPr>
        <w:t>fugiens</w:t>
      </w:r>
      <w:proofErr w:type="spellEnd"/>
      <w:r>
        <w:rPr>
          <w:rStyle w:val="sources-text"/>
        </w:rPr>
        <w:t>, c. 1600.”</w:t>
      </w:r>
      <w:proofErr w:type="gramEnd"/>
      <w:r>
        <w:rPr>
          <w:rStyle w:val="sources-text"/>
        </w:rPr>
        <w:t xml:space="preserve"> </w:t>
      </w:r>
      <w:proofErr w:type="gramStart"/>
      <w:r>
        <w:rPr>
          <w:rStyle w:val="sources-text"/>
        </w:rPr>
        <w:t xml:space="preserve">Manly Palmer Hall collection of alchemical manuscripts, MS 170, </w:t>
      </w:r>
      <w:r>
        <w:rPr>
          <w:rStyle w:val="indent"/>
        </w:rPr>
        <w:t>Getty Research Institute.</w:t>
      </w:r>
      <w:proofErr w:type="gramEnd"/>
      <w:r>
        <w:rPr>
          <w:rStyle w:val="indent"/>
        </w:rPr>
        <w:t xml:space="preserve"> </w:t>
      </w:r>
      <w:hyperlink r:id="rId40" w:tgtFrame="_blank" w:history="1">
        <w:proofErr w:type="gramStart"/>
        <w:r>
          <w:rPr>
            <w:rStyle w:val="Hyperlink"/>
          </w:rPr>
          <w:t>http://hdl.handle.net/10020/950053b27</w:t>
        </w:r>
      </w:hyperlink>
      <w:r>
        <w:rPr>
          <w:rStyle w:val="indent"/>
        </w:rPr>
        <w:t xml:space="preserve"> (also available at </w:t>
      </w:r>
      <w:hyperlink r:id="rId41" w:tgtFrame="_blank" w:history="1">
        <w:r>
          <w:rPr>
            <w:rStyle w:val="Hyperlink"/>
          </w:rPr>
          <w:t>http://www.palatinopress.com/atalanta-fugiens.html</w:t>
        </w:r>
      </w:hyperlink>
      <w:r>
        <w:rPr>
          <w:rStyle w:val="indent"/>
        </w:rPr>
        <w:t>).</w:t>
      </w:r>
      <w:proofErr w:type="gramEnd"/>
      <w:r>
        <w:rPr>
          <w:rStyle w:val="indent"/>
        </w:rPr>
        <w:t xml:space="preserve"> </w:t>
      </w:r>
    </w:p>
    <w:p w:rsidR="006A2F82" w:rsidRDefault="006A2F82" w:rsidP="006A2F82">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xml:space="preserve">, hoc </w:t>
      </w:r>
      <w:proofErr w:type="spellStart"/>
      <w:proofErr w:type="gramStart"/>
      <w:r>
        <w:rPr>
          <w:rStyle w:val="Emphasis"/>
        </w:rPr>
        <w:t>est</w:t>
      </w:r>
      <w:proofErr w:type="spellEnd"/>
      <w:proofErr w:type="gramEnd"/>
      <w:r>
        <w:rPr>
          <w:rStyle w:val="Emphasis"/>
        </w:rPr>
        <w:t xml:space="preserve"> </w:t>
      </w:r>
      <w:proofErr w:type="spellStart"/>
      <w:r>
        <w:rPr>
          <w:rStyle w:val="Emphasis"/>
        </w:rPr>
        <w:t>Emblemata</w:t>
      </w:r>
      <w:proofErr w:type="spellEnd"/>
      <w:r>
        <w:rPr>
          <w:rStyle w:val="Emphasis"/>
        </w:rPr>
        <w:t xml:space="preserve"> nova de </w:t>
      </w:r>
      <w:proofErr w:type="spellStart"/>
      <w:r>
        <w:rPr>
          <w:rStyle w:val="Emphasis"/>
        </w:rPr>
        <w:t>secretis</w:t>
      </w:r>
      <w:proofErr w:type="spellEnd"/>
      <w:r>
        <w:rPr>
          <w:rStyle w:val="Emphasis"/>
        </w:rPr>
        <w:t xml:space="preserve"> </w:t>
      </w:r>
      <w:proofErr w:type="spellStart"/>
      <w:r>
        <w:rPr>
          <w:rStyle w:val="Emphasis"/>
        </w:rPr>
        <w:t>naturae</w:t>
      </w:r>
      <w:proofErr w:type="spellEnd"/>
      <w:r>
        <w:rPr>
          <w:rStyle w:val="Emphasis"/>
        </w:rPr>
        <w:t xml:space="preserve"> </w:t>
      </w:r>
      <w:proofErr w:type="spellStart"/>
      <w:r>
        <w:rPr>
          <w:rStyle w:val="Emphasis"/>
        </w:rPr>
        <w:t>chymica</w:t>
      </w:r>
      <w:proofErr w:type="spellEnd"/>
      <w:r>
        <w:rPr>
          <w:rStyle w:val="sources-text"/>
        </w:rPr>
        <w:t xml:space="preserve">. </w:t>
      </w:r>
      <w:r>
        <w:rPr>
          <w:rStyle w:val="indent"/>
        </w:rPr>
        <w:t xml:space="preserve">Oppenheim: Johann Theodor de </w:t>
      </w:r>
      <w:proofErr w:type="spellStart"/>
      <w:r>
        <w:rPr>
          <w:rStyle w:val="indent"/>
        </w:rPr>
        <w:t>Bry</w:t>
      </w:r>
      <w:proofErr w:type="spellEnd"/>
      <w:r>
        <w:rPr>
          <w:rStyle w:val="indent"/>
        </w:rPr>
        <w:t xml:space="preserve">, 1618 [hand colored]. </w:t>
      </w:r>
      <w:proofErr w:type="spellStart"/>
      <w:proofErr w:type="gramStart"/>
      <w:r>
        <w:rPr>
          <w:rStyle w:val="indent"/>
        </w:rPr>
        <w:t>Bibliothèque</w:t>
      </w:r>
      <w:proofErr w:type="spellEnd"/>
      <w:r>
        <w:rPr>
          <w:rStyle w:val="indent"/>
        </w:rPr>
        <w:t xml:space="preserve"> </w:t>
      </w:r>
      <w:proofErr w:type="spellStart"/>
      <w:r>
        <w:rPr>
          <w:rStyle w:val="indent"/>
        </w:rPr>
        <w:t>nationale</w:t>
      </w:r>
      <w:proofErr w:type="spellEnd"/>
      <w:r>
        <w:rPr>
          <w:rStyle w:val="indent"/>
        </w:rPr>
        <w:t xml:space="preserve"> de France, </w:t>
      </w:r>
      <w:proofErr w:type="spellStart"/>
      <w:r>
        <w:rPr>
          <w:rStyle w:val="indent"/>
        </w:rPr>
        <w:t>département</w:t>
      </w:r>
      <w:proofErr w:type="spellEnd"/>
      <w:r>
        <w:rPr>
          <w:rStyle w:val="indent"/>
        </w:rPr>
        <w:t xml:space="preserve"> </w:t>
      </w:r>
      <w:proofErr w:type="spellStart"/>
      <w:r>
        <w:rPr>
          <w:rStyle w:val="indent"/>
        </w:rPr>
        <w:t>Réserve</w:t>
      </w:r>
      <w:proofErr w:type="spellEnd"/>
      <w:r>
        <w:rPr>
          <w:rStyle w:val="indent"/>
        </w:rPr>
        <w:t xml:space="preserve"> des </w:t>
      </w:r>
      <w:proofErr w:type="spellStart"/>
      <w:r>
        <w:rPr>
          <w:rStyle w:val="indent"/>
        </w:rPr>
        <w:t>livres</w:t>
      </w:r>
      <w:proofErr w:type="spellEnd"/>
      <w:r>
        <w:rPr>
          <w:rStyle w:val="indent"/>
        </w:rPr>
        <w:t xml:space="preserve"> </w:t>
      </w:r>
      <w:proofErr w:type="spellStart"/>
      <w:r>
        <w:rPr>
          <w:rStyle w:val="indent"/>
        </w:rPr>
        <w:t>rares</w:t>
      </w:r>
      <w:proofErr w:type="spellEnd"/>
      <w:r>
        <w:rPr>
          <w:rStyle w:val="indent"/>
        </w:rPr>
        <w:t>, RES-R-1438.</w:t>
      </w:r>
      <w:proofErr w:type="gramEnd"/>
      <w:r>
        <w:rPr>
          <w:rStyle w:val="indent"/>
        </w:rPr>
        <w:t xml:space="preserve"> </w:t>
      </w:r>
      <w:hyperlink r:id="rId42" w:tgtFrame="_blank" w:history="1">
        <w:r>
          <w:rPr>
            <w:rStyle w:val="Hyperlink"/>
          </w:rPr>
          <w:t>https://gallica.bnf.fr/ark:/12148/bpt6k850551g/f7.image</w:t>
        </w:r>
      </w:hyperlink>
      <w:r>
        <w:rPr>
          <w:rStyle w:val="indent"/>
        </w:rPr>
        <w:t xml:space="preserve">. </w:t>
      </w:r>
    </w:p>
    <w:p w:rsidR="006A2F82" w:rsidRDefault="006A2F82" w:rsidP="006A2F82">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xml:space="preserve">, hoc </w:t>
      </w:r>
      <w:proofErr w:type="spellStart"/>
      <w:proofErr w:type="gramStart"/>
      <w:r>
        <w:rPr>
          <w:rStyle w:val="Emphasis"/>
        </w:rPr>
        <w:t>est</w:t>
      </w:r>
      <w:proofErr w:type="spellEnd"/>
      <w:proofErr w:type="gramEnd"/>
      <w:r>
        <w:rPr>
          <w:rStyle w:val="Emphasis"/>
        </w:rPr>
        <w:t xml:space="preserve"> </w:t>
      </w:r>
      <w:proofErr w:type="spellStart"/>
      <w:r>
        <w:rPr>
          <w:rStyle w:val="Emphasis"/>
        </w:rPr>
        <w:t>Emblemata</w:t>
      </w:r>
      <w:proofErr w:type="spellEnd"/>
      <w:r>
        <w:rPr>
          <w:rStyle w:val="Emphasis"/>
        </w:rPr>
        <w:t xml:space="preserve"> nova de </w:t>
      </w:r>
      <w:proofErr w:type="spellStart"/>
      <w:r>
        <w:rPr>
          <w:rStyle w:val="Emphasis"/>
        </w:rPr>
        <w:t>secretis</w:t>
      </w:r>
      <w:proofErr w:type="spellEnd"/>
      <w:r>
        <w:rPr>
          <w:rStyle w:val="Emphasis"/>
        </w:rPr>
        <w:t xml:space="preserve"> </w:t>
      </w:r>
      <w:proofErr w:type="spellStart"/>
      <w:r>
        <w:rPr>
          <w:rStyle w:val="Emphasis"/>
        </w:rPr>
        <w:t>naturae</w:t>
      </w:r>
      <w:proofErr w:type="spellEnd"/>
      <w:r>
        <w:rPr>
          <w:rStyle w:val="Emphasis"/>
        </w:rPr>
        <w:t xml:space="preserve"> </w:t>
      </w:r>
      <w:proofErr w:type="spellStart"/>
      <w:r>
        <w:rPr>
          <w:rStyle w:val="Emphasis"/>
        </w:rPr>
        <w:t>chymica</w:t>
      </w:r>
      <w:proofErr w:type="spellEnd"/>
      <w:r>
        <w:rPr>
          <w:rStyle w:val="sources-text"/>
        </w:rPr>
        <w:t xml:space="preserve">. </w:t>
      </w:r>
      <w:r>
        <w:rPr>
          <w:rStyle w:val="indent"/>
        </w:rPr>
        <w:t xml:space="preserve">Oppenheim: Johann Theodor de </w:t>
      </w:r>
      <w:proofErr w:type="spellStart"/>
      <w:r>
        <w:rPr>
          <w:rStyle w:val="indent"/>
        </w:rPr>
        <w:t>Bry</w:t>
      </w:r>
      <w:proofErr w:type="spellEnd"/>
      <w:r>
        <w:rPr>
          <w:rStyle w:val="indent"/>
        </w:rPr>
        <w:t xml:space="preserve">, 1618 [hand colored]. Roy G. Neville Historical Chemical Library, Donald F. and Mildred </w:t>
      </w:r>
      <w:proofErr w:type="spellStart"/>
      <w:r>
        <w:rPr>
          <w:rStyle w:val="indent"/>
        </w:rPr>
        <w:t>Topp</w:t>
      </w:r>
      <w:proofErr w:type="spellEnd"/>
      <w:r>
        <w:rPr>
          <w:rStyle w:val="indent"/>
        </w:rPr>
        <w:t xml:space="preserve"> </w:t>
      </w:r>
      <w:proofErr w:type="spellStart"/>
      <w:r>
        <w:rPr>
          <w:rStyle w:val="indent"/>
        </w:rPr>
        <w:t>Othmer</w:t>
      </w:r>
      <w:proofErr w:type="spellEnd"/>
      <w:r>
        <w:rPr>
          <w:rStyle w:val="indent"/>
        </w:rPr>
        <w:t xml:space="preserve"> Library of Chemical History, Science History Institute. </w:t>
      </w:r>
      <w:hyperlink r:id="rId43" w:tgtFrame="_blank" w:history="1">
        <w:r>
          <w:rPr>
            <w:rStyle w:val="Hyperlink"/>
          </w:rPr>
          <w:t>https://othmerlib.sciencehistory.org/record=b1035397~S6</w:t>
        </w:r>
      </w:hyperlink>
      <w:r>
        <w:rPr>
          <w:rStyle w:val="indent"/>
        </w:rPr>
        <w:t xml:space="preserve">. </w:t>
      </w:r>
    </w:p>
    <w:p w:rsidR="006A2F82" w:rsidRDefault="006A2F82" w:rsidP="006A2F82">
      <w:proofErr w:type="spellStart"/>
      <w:r>
        <w:rPr>
          <w:rStyle w:val="Emphasis"/>
        </w:rPr>
        <w:t>Chymisches</w:t>
      </w:r>
      <w:proofErr w:type="spellEnd"/>
      <w:r>
        <w:rPr>
          <w:rStyle w:val="Emphasis"/>
        </w:rPr>
        <w:t xml:space="preserve"> Cabinet: </w:t>
      </w:r>
      <w:proofErr w:type="spellStart"/>
      <w:r>
        <w:rPr>
          <w:rStyle w:val="Emphasis"/>
        </w:rPr>
        <w:t>derer</w:t>
      </w:r>
      <w:proofErr w:type="spellEnd"/>
      <w:r>
        <w:rPr>
          <w:rStyle w:val="Emphasis"/>
        </w:rPr>
        <w:t xml:space="preserve"> </w:t>
      </w:r>
      <w:proofErr w:type="spellStart"/>
      <w:r>
        <w:rPr>
          <w:rStyle w:val="Emphasis"/>
        </w:rPr>
        <w:t>grossen</w:t>
      </w:r>
      <w:proofErr w:type="spellEnd"/>
      <w:r>
        <w:rPr>
          <w:rStyle w:val="Emphasis"/>
        </w:rPr>
        <w:t xml:space="preserve"> </w:t>
      </w:r>
      <w:proofErr w:type="spellStart"/>
      <w:r>
        <w:rPr>
          <w:rStyle w:val="Emphasis"/>
        </w:rPr>
        <w:t>Geheimnussen</w:t>
      </w:r>
      <w:proofErr w:type="spellEnd"/>
      <w:r>
        <w:rPr>
          <w:rStyle w:val="Emphasis"/>
        </w:rPr>
        <w:t xml:space="preserve"> der </w:t>
      </w:r>
      <w:proofErr w:type="spellStart"/>
      <w:r>
        <w:rPr>
          <w:rStyle w:val="Emphasis"/>
        </w:rPr>
        <w:t>Natur</w:t>
      </w:r>
      <w:proofErr w:type="spellEnd"/>
      <w:r>
        <w:rPr>
          <w:rStyle w:val="sources-text"/>
        </w:rPr>
        <w:t xml:space="preserve">. </w:t>
      </w:r>
      <w:proofErr w:type="gramStart"/>
      <w:r>
        <w:rPr>
          <w:rStyle w:val="sources-text"/>
        </w:rPr>
        <w:t>Frankfurt, 1708.</w:t>
      </w:r>
      <w:proofErr w:type="gramEnd"/>
      <w:r>
        <w:rPr>
          <w:rStyle w:val="sources-text"/>
        </w:rPr>
        <w:t xml:space="preserve"> </w:t>
      </w:r>
    </w:p>
    <w:p w:rsidR="006A2F82" w:rsidRDefault="006A2F82" w:rsidP="006A2F82">
      <w:proofErr w:type="spellStart"/>
      <w:r>
        <w:rPr>
          <w:rStyle w:val="sources-text"/>
        </w:rPr>
        <w:t>Mylius</w:t>
      </w:r>
      <w:proofErr w:type="spellEnd"/>
      <w:r>
        <w:rPr>
          <w:rStyle w:val="sources-text"/>
        </w:rPr>
        <w:t xml:space="preserve">, Johann Daniel. </w:t>
      </w:r>
      <w:proofErr w:type="spellStart"/>
      <w:proofErr w:type="gramStart"/>
      <w:r>
        <w:rPr>
          <w:rStyle w:val="Emphasis"/>
        </w:rPr>
        <w:t>Philosophia</w:t>
      </w:r>
      <w:proofErr w:type="spellEnd"/>
      <w:r>
        <w:rPr>
          <w:rStyle w:val="Emphasis"/>
        </w:rPr>
        <w:t xml:space="preserve"> </w:t>
      </w:r>
      <w:proofErr w:type="spellStart"/>
      <w:r>
        <w:rPr>
          <w:rStyle w:val="Emphasis"/>
        </w:rPr>
        <w:t>reformata</w:t>
      </w:r>
      <w:proofErr w:type="spellEnd"/>
      <w:r>
        <w:rPr>
          <w:rStyle w:val="sources-text"/>
        </w:rPr>
        <w:t>.</w:t>
      </w:r>
      <w:proofErr w:type="gramEnd"/>
      <w:r>
        <w:rPr>
          <w:rStyle w:val="sources-text"/>
        </w:rPr>
        <w:t xml:space="preserve"> </w:t>
      </w:r>
      <w:proofErr w:type="gramStart"/>
      <w:r>
        <w:rPr>
          <w:rStyle w:val="sources-text"/>
        </w:rPr>
        <w:t>Frankfurt, 1622.</w:t>
      </w:r>
      <w:proofErr w:type="gramEnd"/>
      <w:r>
        <w:rPr>
          <w:rStyle w:val="sources-text"/>
        </w:rPr>
        <w:t xml:space="preserve"> </w:t>
      </w:r>
    </w:p>
    <w:p w:rsidR="006A2F82" w:rsidRDefault="006A2F82" w:rsidP="006A2F82">
      <w:r>
        <w:rPr>
          <w:rStyle w:val="sources-text"/>
        </w:rPr>
        <w:t xml:space="preserve">Ovid. </w:t>
      </w:r>
      <w:r>
        <w:rPr>
          <w:rStyle w:val="Emphasis"/>
        </w:rPr>
        <w:t>Metamorphoses, Volume II: Books 9–15</w:t>
      </w:r>
      <w:r>
        <w:rPr>
          <w:rStyle w:val="sources-text"/>
        </w:rPr>
        <w:t xml:space="preserve">. </w:t>
      </w:r>
      <w:proofErr w:type="gramStart"/>
      <w:r>
        <w:rPr>
          <w:rStyle w:val="sources-text"/>
        </w:rPr>
        <w:t>Translated by Frank Justus Miller.</w:t>
      </w:r>
      <w:proofErr w:type="gramEnd"/>
      <w:r>
        <w:rPr>
          <w:rStyle w:val="sources-text"/>
        </w:rPr>
        <w:t xml:space="preserve"> </w:t>
      </w:r>
      <w:proofErr w:type="gramStart"/>
      <w:r>
        <w:rPr>
          <w:rStyle w:val="sources-text"/>
        </w:rPr>
        <w:t xml:space="preserve">Revised by </w:t>
      </w:r>
      <w:r>
        <w:rPr>
          <w:rStyle w:val="indent"/>
        </w:rPr>
        <w:t xml:space="preserve">G. P. </w:t>
      </w:r>
      <w:proofErr w:type="spellStart"/>
      <w:r>
        <w:rPr>
          <w:rStyle w:val="indent"/>
        </w:rPr>
        <w:t>Goold</w:t>
      </w:r>
      <w:proofErr w:type="spellEnd"/>
      <w:r>
        <w:rPr>
          <w:rStyle w:val="indent"/>
        </w:rPr>
        <w:t>.</w:t>
      </w:r>
      <w:proofErr w:type="gramEnd"/>
      <w:r>
        <w:rPr>
          <w:rStyle w:val="indent"/>
        </w:rPr>
        <w:t xml:space="preserve"> </w:t>
      </w:r>
      <w:proofErr w:type="gramStart"/>
      <w:r>
        <w:rPr>
          <w:rStyle w:val="indent"/>
        </w:rPr>
        <w:t>Loeb Classical Library 43.</w:t>
      </w:r>
      <w:proofErr w:type="gramEnd"/>
      <w:r>
        <w:rPr>
          <w:rStyle w:val="indent"/>
        </w:rPr>
        <w:t xml:space="preserve"> Cambridge, MA: Harvard University Press, 1916. </w:t>
      </w:r>
      <w:hyperlink r:id="rId44" w:tgtFrame="_blank" w:history="1">
        <w:r>
          <w:rPr>
            <w:rStyle w:val="Hyperlink"/>
          </w:rPr>
          <w:t>https://doi.org/10.4159/DLCL.ovid-metamorphoses.1916</w:t>
        </w:r>
      </w:hyperlink>
      <w:r>
        <w:rPr>
          <w:rStyle w:val="indent"/>
        </w:rPr>
        <w:t xml:space="preserve">. </w:t>
      </w:r>
    </w:p>
    <w:p w:rsidR="006A2F82" w:rsidRDefault="006A2F82" w:rsidP="006A2F82">
      <w:proofErr w:type="spellStart"/>
      <w:proofErr w:type="gramStart"/>
      <w:r>
        <w:rPr>
          <w:rStyle w:val="Emphasis"/>
        </w:rPr>
        <w:t>Rosarium</w:t>
      </w:r>
      <w:proofErr w:type="spellEnd"/>
      <w:r>
        <w:rPr>
          <w:rStyle w:val="Emphasis"/>
        </w:rPr>
        <w:t xml:space="preserve"> </w:t>
      </w:r>
      <w:proofErr w:type="spellStart"/>
      <w:r>
        <w:rPr>
          <w:rStyle w:val="Emphasis"/>
        </w:rPr>
        <w:t>philosophorum</w:t>
      </w:r>
      <w:proofErr w:type="spellEnd"/>
      <w:r>
        <w:rPr>
          <w:rStyle w:val="sources-text"/>
        </w:rPr>
        <w:t>.</w:t>
      </w:r>
      <w:proofErr w:type="gramEnd"/>
      <w:r>
        <w:rPr>
          <w:rStyle w:val="sources-text"/>
        </w:rPr>
        <w:t xml:space="preserve"> </w:t>
      </w:r>
      <w:proofErr w:type="gramStart"/>
      <w:r>
        <w:rPr>
          <w:rStyle w:val="sources-text"/>
        </w:rPr>
        <w:t>Frankfurt, 1550.</w:t>
      </w:r>
      <w:proofErr w:type="gramEnd"/>
      <w:r>
        <w:rPr>
          <w:rStyle w:val="sources-text"/>
        </w:rPr>
        <w:t xml:space="preserve"> </w:t>
      </w:r>
    </w:p>
    <w:p w:rsidR="006A2F82" w:rsidRDefault="006A2F82" w:rsidP="006A2F82">
      <w:proofErr w:type="spellStart"/>
      <w:proofErr w:type="gramStart"/>
      <w:r>
        <w:rPr>
          <w:rStyle w:val="Emphasis"/>
        </w:rPr>
        <w:t>Turba</w:t>
      </w:r>
      <w:proofErr w:type="spellEnd"/>
      <w:r>
        <w:rPr>
          <w:rStyle w:val="Emphasis"/>
        </w:rPr>
        <w:t xml:space="preserve"> </w:t>
      </w:r>
      <w:proofErr w:type="spellStart"/>
      <w:r>
        <w:rPr>
          <w:rStyle w:val="Emphasis"/>
        </w:rPr>
        <w:t>philosophorum</w:t>
      </w:r>
      <w:proofErr w:type="spellEnd"/>
      <w:r>
        <w:rPr>
          <w:rStyle w:val="sources-text"/>
        </w:rPr>
        <w:t>.</w:t>
      </w:r>
      <w:proofErr w:type="gramEnd"/>
      <w:r>
        <w:rPr>
          <w:rStyle w:val="sources-text"/>
        </w:rPr>
        <w:t xml:space="preserve"> </w:t>
      </w:r>
      <w:proofErr w:type="gramStart"/>
      <w:r>
        <w:rPr>
          <w:rStyle w:val="sources-text"/>
        </w:rPr>
        <w:t xml:space="preserve">In </w:t>
      </w:r>
      <w:proofErr w:type="spellStart"/>
      <w:r>
        <w:rPr>
          <w:rStyle w:val="Emphasis"/>
        </w:rPr>
        <w:t>Artis</w:t>
      </w:r>
      <w:proofErr w:type="spellEnd"/>
      <w:r>
        <w:rPr>
          <w:rStyle w:val="Emphasis"/>
        </w:rPr>
        <w:t xml:space="preserve"> </w:t>
      </w:r>
      <w:proofErr w:type="spellStart"/>
      <w:r>
        <w:rPr>
          <w:rStyle w:val="Emphasis"/>
        </w:rPr>
        <w:t>auriferae</w:t>
      </w:r>
      <w:proofErr w:type="spellEnd"/>
      <w:r>
        <w:rPr>
          <w:rStyle w:val="Emphasis"/>
        </w:rPr>
        <w:t xml:space="preserve">, quam </w:t>
      </w:r>
      <w:proofErr w:type="spellStart"/>
      <w:r>
        <w:rPr>
          <w:rStyle w:val="Emphasis"/>
        </w:rPr>
        <w:t>chemiam</w:t>
      </w:r>
      <w:proofErr w:type="spellEnd"/>
      <w:r>
        <w:rPr>
          <w:rStyle w:val="Emphasis"/>
        </w:rPr>
        <w:t xml:space="preserve"> </w:t>
      </w:r>
      <w:proofErr w:type="spellStart"/>
      <w:r>
        <w:rPr>
          <w:rStyle w:val="Emphasis"/>
        </w:rPr>
        <w:t>vocant</w:t>
      </w:r>
      <w:proofErr w:type="spellEnd"/>
      <w:r>
        <w:rPr>
          <w:rStyle w:val="sources-text"/>
        </w:rPr>
        <w:t>.</w:t>
      </w:r>
      <w:proofErr w:type="gramEnd"/>
      <w:r>
        <w:rPr>
          <w:rStyle w:val="sources-text"/>
        </w:rPr>
        <w:t xml:space="preserve"> </w:t>
      </w:r>
      <w:proofErr w:type="gramStart"/>
      <w:r>
        <w:rPr>
          <w:rStyle w:val="sources-text"/>
        </w:rPr>
        <w:t>Basel, 1572.</w:t>
      </w:r>
      <w:proofErr w:type="gramEnd"/>
      <w:r>
        <w:rPr>
          <w:rStyle w:val="sources-text"/>
        </w:rPr>
        <w:t xml:space="preserve"> </w:t>
      </w:r>
    </w:p>
    <w:p w:rsidR="006A2F82" w:rsidRDefault="006A2F82" w:rsidP="006A2F82">
      <w:r>
        <w:rPr>
          <w:rStyle w:val="sources-text"/>
        </w:rPr>
        <w:t xml:space="preserve">Valentine, Basil [pseud.]. </w:t>
      </w:r>
      <w:proofErr w:type="spellStart"/>
      <w:r>
        <w:rPr>
          <w:rStyle w:val="Emphasis"/>
        </w:rPr>
        <w:t>Practica</w:t>
      </w:r>
      <w:proofErr w:type="spellEnd"/>
      <w:r>
        <w:rPr>
          <w:rStyle w:val="Emphasis"/>
        </w:rPr>
        <w:t xml:space="preserve"> cum </w:t>
      </w:r>
      <w:proofErr w:type="spellStart"/>
      <w:r>
        <w:rPr>
          <w:rStyle w:val="Emphasis"/>
        </w:rPr>
        <w:t>duodecim</w:t>
      </w:r>
      <w:proofErr w:type="spellEnd"/>
      <w:r>
        <w:rPr>
          <w:rStyle w:val="Emphasis"/>
        </w:rPr>
        <w:t xml:space="preserve"> </w:t>
      </w:r>
      <w:proofErr w:type="spellStart"/>
      <w:r>
        <w:rPr>
          <w:rStyle w:val="Emphasis"/>
        </w:rPr>
        <w:t>clavibus</w:t>
      </w:r>
      <w:proofErr w:type="spellEnd"/>
      <w:r>
        <w:rPr>
          <w:rStyle w:val="Emphasis"/>
        </w:rPr>
        <w:t xml:space="preserve"> </w:t>
      </w:r>
      <w:proofErr w:type="gramStart"/>
      <w:r>
        <w:rPr>
          <w:rStyle w:val="Emphasis"/>
        </w:rPr>
        <w:t>et</w:t>
      </w:r>
      <w:proofErr w:type="gramEnd"/>
      <w:r>
        <w:rPr>
          <w:rStyle w:val="Emphasis"/>
        </w:rPr>
        <w:t xml:space="preserve"> </w:t>
      </w:r>
      <w:proofErr w:type="spellStart"/>
      <w:r>
        <w:rPr>
          <w:rStyle w:val="Emphasis"/>
        </w:rPr>
        <w:t>appendice</w:t>
      </w:r>
      <w:proofErr w:type="spellEnd"/>
      <w:r>
        <w:rPr>
          <w:rStyle w:val="Emphasis"/>
        </w:rPr>
        <w:t xml:space="preserve">, de </w:t>
      </w:r>
      <w:proofErr w:type="spellStart"/>
      <w:r>
        <w:rPr>
          <w:rStyle w:val="Emphasis"/>
        </w:rPr>
        <w:t>magno</w:t>
      </w:r>
      <w:proofErr w:type="spellEnd"/>
      <w:r>
        <w:rPr>
          <w:rStyle w:val="Emphasis"/>
        </w:rPr>
        <w:t xml:space="preserve"> </w:t>
      </w:r>
      <w:proofErr w:type="spellStart"/>
      <w:r>
        <w:rPr>
          <w:rStyle w:val="Emphasis"/>
        </w:rPr>
        <w:t>lapide</w:t>
      </w:r>
      <w:proofErr w:type="spellEnd"/>
      <w:r>
        <w:rPr>
          <w:rStyle w:val="sources-text"/>
        </w:rPr>
        <w:t xml:space="preserve"> </w:t>
      </w:r>
      <w:proofErr w:type="spellStart"/>
      <w:r>
        <w:rPr>
          <w:rStyle w:val="Emphasis"/>
        </w:rPr>
        <w:t>antiquorum</w:t>
      </w:r>
      <w:proofErr w:type="spellEnd"/>
      <w:r>
        <w:rPr>
          <w:rStyle w:val="Emphasis"/>
        </w:rPr>
        <w:t xml:space="preserve"> </w:t>
      </w:r>
      <w:proofErr w:type="spellStart"/>
      <w:r>
        <w:rPr>
          <w:rStyle w:val="Emphasis"/>
        </w:rPr>
        <w:t>sapientum</w:t>
      </w:r>
      <w:proofErr w:type="spellEnd"/>
      <w:r>
        <w:rPr>
          <w:rStyle w:val="indent"/>
        </w:rPr>
        <w:t xml:space="preserve">. </w:t>
      </w:r>
      <w:proofErr w:type="gramStart"/>
      <w:r>
        <w:rPr>
          <w:rStyle w:val="indent"/>
        </w:rPr>
        <w:t>Frankfurt, 1677.</w:t>
      </w:r>
      <w:proofErr w:type="gramEnd"/>
      <w:r>
        <w:rPr>
          <w:rStyle w:val="indent"/>
        </w:rPr>
        <w:t xml:space="preserve"> </w:t>
      </w:r>
    </w:p>
    <w:p w:rsidR="006A2F82" w:rsidRDefault="006A2F82" w:rsidP="006A2F82">
      <w:r>
        <w:rPr>
          <w:rStyle w:val="title"/>
        </w:rPr>
        <w:t xml:space="preserve">Secondary Sources </w:t>
      </w:r>
    </w:p>
    <w:p w:rsidR="006A2F82" w:rsidRDefault="006A2F82" w:rsidP="006A2F82">
      <w:proofErr w:type="spellStart"/>
      <w:proofErr w:type="gramStart"/>
      <w:r>
        <w:rPr>
          <w:rStyle w:val="sources-text"/>
        </w:rPr>
        <w:t>Dackerman</w:t>
      </w:r>
      <w:proofErr w:type="spellEnd"/>
      <w:r>
        <w:rPr>
          <w:rStyle w:val="sources-text"/>
        </w:rPr>
        <w:t xml:space="preserve">, Susan, ed. </w:t>
      </w:r>
      <w:r>
        <w:rPr>
          <w:rStyle w:val="Emphasis"/>
        </w:rPr>
        <w:t>Prints and the Pursuit of Knowledge in Early Modern Europe</w:t>
      </w:r>
      <w:r>
        <w:rPr>
          <w:rStyle w:val="sources-text"/>
        </w:rPr>
        <w:t>.</w:t>
      </w:r>
      <w:proofErr w:type="gramEnd"/>
      <w:r>
        <w:rPr>
          <w:rStyle w:val="sources-text"/>
        </w:rPr>
        <w:t xml:space="preserve"> </w:t>
      </w:r>
      <w:r>
        <w:rPr>
          <w:rStyle w:val="indent"/>
        </w:rPr>
        <w:t xml:space="preserve">Cambridge, MA: Harvard Art Museums, 2011. </w:t>
      </w:r>
    </w:p>
    <w:p w:rsidR="006A2F82" w:rsidRDefault="006A2F82" w:rsidP="006A2F82">
      <w:proofErr w:type="gramStart"/>
      <w:r>
        <w:rPr>
          <w:rStyle w:val="sources-text"/>
        </w:rPr>
        <w:t>de</w:t>
      </w:r>
      <w:proofErr w:type="gramEnd"/>
      <w:r>
        <w:rPr>
          <w:rStyle w:val="sources-text"/>
        </w:rPr>
        <w:t xml:space="preserve"> Jong, H. M. E. </w:t>
      </w:r>
      <w:r>
        <w:rPr>
          <w:rStyle w:val="Emphasis"/>
        </w:rPr>
        <w:t>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Sources of an Alchemical Book of</w:t>
      </w:r>
      <w:r>
        <w:rPr>
          <w:rStyle w:val="sources-text"/>
        </w:rPr>
        <w:t xml:space="preserve"> </w:t>
      </w:r>
      <w:r>
        <w:rPr>
          <w:rStyle w:val="Emphasis"/>
        </w:rPr>
        <w:t>Emblems</w:t>
      </w:r>
      <w:r>
        <w:rPr>
          <w:rStyle w:val="indent"/>
        </w:rPr>
        <w:t xml:space="preserve">. Leiden: E. J. Brill, 1969. </w:t>
      </w:r>
    </w:p>
    <w:p w:rsidR="006A2F82" w:rsidRDefault="006A2F82" w:rsidP="006A2F82">
      <w:proofErr w:type="spellStart"/>
      <w:r>
        <w:rPr>
          <w:rStyle w:val="sources-text"/>
        </w:rPr>
        <w:t>Findlen</w:t>
      </w:r>
      <w:proofErr w:type="spellEnd"/>
      <w:r>
        <w:rPr>
          <w:rStyle w:val="sources-text"/>
        </w:rPr>
        <w:t xml:space="preserve">, Paula. “Between Carnival and Lent: The Scientific Revolution at the Margins of </w:t>
      </w:r>
      <w:r>
        <w:rPr>
          <w:rStyle w:val="indent"/>
        </w:rPr>
        <w:t xml:space="preserve">Culture.” </w:t>
      </w:r>
      <w:r>
        <w:rPr>
          <w:rStyle w:val="Emphasis"/>
        </w:rPr>
        <w:t>Configurations</w:t>
      </w:r>
      <w:r>
        <w:rPr>
          <w:rStyle w:val="indent"/>
        </w:rPr>
        <w:t xml:space="preserve"> 6, no. 2 (1998): 243–67. </w:t>
      </w:r>
    </w:p>
    <w:p w:rsidR="006A2F82" w:rsidRDefault="006A2F82" w:rsidP="006A2F82">
      <w:proofErr w:type="spellStart"/>
      <w:r>
        <w:rPr>
          <w:rStyle w:val="sources-text"/>
        </w:rPr>
        <w:t>Fumaroli</w:t>
      </w:r>
      <w:proofErr w:type="spellEnd"/>
      <w:r>
        <w:rPr>
          <w:rStyle w:val="sources-text"/>
        </w:rPr>
        <w:t xml:space="preserve">, Marc. </w:t>
      </w:r>
      <w:proofErr w:type="gramStart"/>
      <w:r>
        <w:rPr>
          <w:rStyle w:val="Emphasis"/>
        </w:rPr>
        <w:t>The Republic of Letters</w:t>
      </w:r>
      <w:r>
        <w:rPr>
          <w:rStyle w:val="sources-text"/>
        </w:rPr>
        <w:t>.</w:t>
      </w:r>
      <w:proofErr w:type="gramEnd"/>
      <w:r>
        <w:rPr>
          <w:rStyle w:val="sources-text"/>
        </w:rPr>
        <w:t xml:space="preserve"> </w:t>
      </w:r>
      <w:proofErr w:type="gramStart"/>
      <w:r>
        <w:rPr>
          <w:rStyle w:val="sources-text"/>
        </w:rPr>
        <w:t xml:space="preserve">Translated by Laura </w:t>
      </w:r>
      <w:proofErr w:type="spellStart"/>
      <w:r>
        <w:rPr>
          <w:rStyle w:val="sources-text"/>
        </w:rPr>
        <w:t>Vergnaud</w:t>
      </w:r>
      <w:proofErr w:type="spellEnd"/>
      <w:r>
        <w:rPr>
          <w:rStyle w:val="sources-text"/>
        </w:rPr>
        <w:t>.</w:t>
      </w:r>
      <w:proofErr w:type="gramEnd"/>
      <w:r>
        <w:rPr>
          <w:rStyle w:val="sources-text"/>
        </w:rPr>
        <w:t xml:space="preserve"> New Haven: Yale </w:t>
      </w:r>
      <w:r>
        <w:rPr>
          <w:rStyle w:val="indent"/>
        </w:rPr>
        <w:t xml:space="preserve">University Press, 2018. </w:t>
      </w:r>
    </w:p>
    <w:p w:rsidR="006A2F82" w:rsidRDefault="006A2F82" w:rsidP="006A2F82">
      <w:proofErr w:type="gramStart"/>
      <w:r>
        <w:rPr>
          <w:rStyle w:val="sources-text"/>
        </w:rPr>
        <w:t>Garber, Margaret D. “Untwisting the Greene Lyon’s Tale.”</w:t>
      </w:r>
      <w:proofErr w:type="gramEnd"/>
      <w:r>
        <w:rPr>
          <w:rStyle w:val="sources-text"/>
        </w:rPr>
        <w:t xml:space="preserve"> </w:t>
      </w:r>
      <w:r>
        <w:rPr>
          <w:rStyle w:val="Emphasis"/>
        </w:rPr>
        <w:t>Historical Studies in the Natural</w:t>
      </w:r>
      <w:r>
        <w:rPr>
          <w:rStyle w:val="sources-text"/>
        </w:rPr>
        <w:t xml:space="preserve"> </w:t>
      </w:r>
      <w:r>
        <w:rPr>
          <w:rStyle w:val="Emphasis"/>
        </w:rPr>
        <w:t>Sciences</w:t>
      </w:r>
      <w:r>
        <w:rPr>
          <w:rStyle w:val="indent"/>
        </w:rPr>
        <w:t xml:space="preserve"> 39, no. 4 (2009): 491–500. </w:t>
      </w:r>
    </w:p>
    <w:p w:rsidR="006A2F82" w:rsidRDefault="006A2F82" w:rsidP="006A2F82">
      <w:r>
        <w:rPr>
          <w:rStyle w:val="sources-text"/>
        </w:rPr>
        <w:t xml:space="preserve">Godwin, </w:t>
      </w:r>
      <w:proofErr w:type="spellStart"/>
      <w:r>
        <w:rPr>
          <w:rStyle w:val="sources-text"/>
        </w:rPr>
        <w:t>Joscelyn</w:t>
      </w:r>
      <w:proofErr w:type="spellEnd"/>
      <w:r>
        <w:rPr>
          <w:rStyle w:val="sources-text"/>
        </w:rPr>
        <w:t xml:space="preserve">, ed.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An Edition of the Fugues, Emblems, and Epigrams,</w:t>
      </w:r>
      <w:r>
        <w:rPr>
          <w:rStyle w:val="sources-text"/>
        </w:rPr>
        <w:t xml:space="preserve"> </w:t>
      </w:r>
      <w:r>
        <w:rPr>
          <w:rStyle w:val="Emphasis"/>
        </w:rPr>
        <w:t>by Michael Maier.</w:t>
      </w:r>
      <w:r>
        <w:rPr>
          <w:rStyle w:val="indent"/>
        </w:rPr>
        <w:t xml:space="preserve"> </w:t>
      </w:r>
      <w:proofErr w:type="gramStart"/>
      <w:r>
        <w:rPr>
          <w:rStyle w:val="indent"/>
        </w:rPr>
        <w:t xml:space="preserve">Translated from the Latin by </w:t>
      </w:r>
      <w:proofErr w:type="spellStart"/>
      <w:r>
        <w:rPr>
          <w:rStyle w:val="indent"/>
        </w:rPr>
        <w:t>Joscelyn</w:t>
      </w:r>
      <w:proofErr w:type="spellEnd"/>
      <w:r>
        <w:rPr>
          <w:rStyle w:val="indent"/>
        </w:rPr>
        <w:t xml:space="preserve"> Godwin, with an introductory essay by </w:t>
      </w:r>
      <w:proofErr w:type="spellStart"/>
      <w:r>
        <w:rPr>
          <w:rStyle w:val="indent"/>
        </w:rPr>
        <w:t>Hildemarie</w:t>
      </w:r>
      <w:proofErr w:type="spellEnd"/>
      <w:r>
        <w:rPr>
          <w:rStyle w:val="indent"/>
        </w:rPr>
        <w:t xml:space="preserve"> </w:t>
      </w:r>
      <w:proofErr w:type="spellStart"/>
      <w:r>
        <w:rPr>
          <w:rStyle w:val="indent"/>
        </w:rPr>
        <w:t>Streich</w:t>
      </w:r>
      <w:proofErr w:type="spellEnd"/>
      <w:r>
        <w:rPr>
          <w:rStyle w:val="indent"/>
        </w:rPr>
        <w:t>.</w:t>
      </w:r>
      <w:proofErr w:type="gramEnd"/>
      <w:r>
        <w:rPr>
          <w:rStyle w:val="indent"/>
        </w:rPr>
        <w:t xml:space="preserve"> Grand Rapids, MI: </w:t>
      </w:r>
      <w:proofErr w:type="spellStart"/>
      <w:r>
        <w:rPr>
          <w:rStyle w:val="indent"/>
        </w:rPr>
        <w:t>Phanes</w:t>
      </w:r>
      <w:proofErr w:type="spellEnd"/>
      <w:r>
        <w:rPr>
          <w:rStyle w:val="indent"/>
        </w:rPr>
        <w:t xml:space="preserve"> Press, 1989. </w:t>
      </w:r>
    </w:p>
    <w:p w:rsidR="006A2F82" w:rsidRDefault="006A2F82" w:rsidP="006A2F82">
      <w:proofErr w:type="spellStart"/>
      <w:r>
        <w:rPr>
          <w:rStyle w:val="sources-text"/>
        </w:rPr>
        <w:t>Hasler</w:t>
      </w:r>
      <w:proofErr w:type="spellEnd"/>
      <w:r>
        <w:rPr>
          <w:rStyle w:val="sources-text"/>
        </w:rPr>
        <w:t>, Johann F. W. “</w:t>
      </w:r>
      <w:proofErr w:type="spellStart"/>
      <w:r>
        <w:rPr>
          <w:rStyle w:val="sources-text"/>
        </w:rPr>
        <w:t>Performative</w:t>
      </w:r>
      <w:proofErr w:type="spellEnd"/>
      <w:r>
        <w:rPr>
          <w:rStyle w:val="sources-text"/>
        </w:rPr>
        <w:t xml:space="preserve"> and Multimedia Aspects of Late-Renaissance Meditative </w:t>
      </w:r>
      <w:r>
        <w:rPr>
          <w:rStyle w:val="indent"/>
        </w:rPr>
        <w:t xml:space="preserve">Alchemy: The Case of 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indent"/>
        </w:rPr>
        <w:t xml:space="preserve">.” </w:t>
      </w:r>
      <w:proofErr w:type="spellStart"/>
      <w:r>
        <w:rPr>
          <w:rStyle w:val="Emphasis"/>
        </w:rPr>
        <w:t>Revista</w:t>
      </w:r>
      <w:proofErr w:type="spellEnd"/>
      <w:r>
        <w:rPr>
          <w:rStyle w:val="Emphasis"/>
        </w:rPr>
        <w:t xml:space="preserve"> de </w:t>
      </w:r>
      <w:proofErr w:type="spellStart"/>
      <w:r>
        <w:rPr>
          <w:rStyle w:val="Emphasis"/>
        </w:rPr>
        <w:t>Estudios</w:t>
      </w:r>
      <w:proofErr w:type="spellEnd"/>
      <w:r>
        <w:rPr>
          <w:rStyle w:val="Emphasis"/>
        </w:rPr>
        <w:t xml:space="preserve"> </w:t>
      </w:r>
      <w:proofErr w:type="spellStart"/>
      <w:r>
        <w:rPr>
          <w:rStyle w:val="Emphasis"/>
        </w:rPr>
        <w:t>Sociales</w:t>
      </w:r>
      <w:proofErr w:type="spellEnd"/>
      <w:r>
        <w:rPr>
          <w:rStyle w:val="indent"/>
        </w:rPr>
        <w:t xml:space="preserve"> 39 (2011): 135–44. </w:t>
      </w:r>
    </w:p>
    <w:p w:rsidR="006A2F82" w:rsidRDefault="006A2F82" w:rsidP="006A2F82">
      <w:proofErr w:type="spellStart"/>
      <w:r>
        <w:rPr>
          <w:rStyle w:val="sources-text"/>
        </w:rPr>
        <w:t>Kusukawa</w:t>
      </w:r>
      <w:proofErr w:type="spellEnd"/>
      <w:r>
        <w:rPr>
          <w:rStyle w:val="sources-text"/>
        </w:rPr>
        <w:t xml:space="preserve">, Sachiko. </w:t>
      </w:r>
      <w:proofErr w:type="gramStart"/>
      <w:r>
        <w:rPr>
          <w:rStyle w:val="Emphasis"/>
        </w:rPr>
        <w:t>Picturing the Book of Nature: Image, Text, and Argument in Sixteenth-Century</w:t>
      </w:r>
      <w:r>
        <w:rPr>
          <w:rStyle w:val="sources-text"/>
        </w:rPr>
        <w:t xml:space="preserve"> </w:t>
      </w:r>
      <w:r>
        <w:rPr>
          <w:rStyle w:val="Emphasis"/>
        </w:rPr>
        <w:t>Human Anatomy and Medical Botany</w:t>
      </w:r>
      <w:r>
        <w:rPr>
          <w:rStyle w:val="indent"/>
        </w:rPr>
        <w:t>.</w:t>
      </w:r>
      <w:proofErr w:type="gramEnd"/>
      <w:r>
        <w:rPr>
          <w:rStyle w:val="indent"/>
        </w:rPr>
        <w:t xml:space="preserve"> Chicago: University of Chicago Press, 2012. </w:t>
      </w:r>
    </w:p>
    <w:p w:rsidR="006A2F82" w:rsidRDefault="006A2F82" w:rsidP="006A2F82">
      <w:proofErr w:type="spellStart"/>
      <w:proofErr w:type="gramStart"/>
      <w:r>
        <w:rPr>
          <w:rStyle w:val="sources-text"/>
        </w:rPr>
        <w:t>Martinón</w:t>
      </w:r>
      <w:proofErr w:type="spellEnd"/>
      <w:r>
        <w:rPr>
          <w:rStyle w:val="sources-text"/>
        </w:rPr>
        <w:t>-Torres, Marcos.</w:t>
      </w:r>
      <w:proofErr w:type="gramEnd"/>
      <w:r>
        <w:rPr>
          <w:rStyle w:val="sources-text"/>
        </w:rPr>
        <w:t xml:space="preserve"> </w:t>
      </w:r>
      <w:proofErr w:type="gramStart"/>
      <w:r>
        <w:rPr>
          <w:rStyle w:val="sources-text"/>
        </w:rPr>
        <w:t>“Some Recent Developments in the Historiography of Alchemy.”</w:t>
      </w:r>
      <w:proofErr w:type="gramEnd"/>
      <w:r>
        <w:rPr>
          <w:rStyle w:val="sources-text"/>
        </w:rPr>
        <w:t xml:space="preserve"> </w:t>
      </w:r>
      <w:proofErr w:type="spellStart"/>
      <w:r>
        <w:rPr>
          <w:rStyle w:val="Emphasis"/>
        </w:rPr>
        <w:t>Ambix</w:t>
      </w:r>
      <w:proofErr w:type="spellEnd"/>
      <w:r>
        <w:rPr>
          <w:rStyle w:val="indent"/>
        </w:rPr>
        <w:t xml:space="preserve"> 58, no. 3 (2011): 215–37. </w:t>
      </w:r>
    </w:p>
    <w:p w:rsidR="006A2F82" w:rsidRDefault="006A2F82" w:rsidP="006A2F82">
      <w:proofErr w:type="spellStart"/>
      <w:r>
        <w:rPr>
          <w:rStyle w:val="sources-text"/>
        </w:rPr>
        <w:t>Meinel</w:t>
      </w:r>
      <w:proofErr w:type="spellEnd"/>
      <w:r>
        <w:rPr>
          <w:rStyle w:val="sources-text"/>
        </w:rPr>
        <w:t xml:space="preserve">, </w:t>
      </w:r>
      <w:proofErr w:type="spellStart"/>
      <w:r>
        <w:rPr>
          <w:rStyle w:val="sources-text"/>
        </w:rPr>
        <w:t>Christoph</w:t>
      </w:r>
      <w:proofErr w:type="spellEnd"/>
      <w:r>
        <w:rPr>
          <w:rStyle w:val="sources-text"/>
        </w:rPr>
        <w:t xml:space="preserve">. </w:t>
      </w:r>
      <w:proofErr w:type="gramStart"/>
      <w:r>
        <w:rPr>
          <w:rStyle w:val="sources-text"/>
        </w:rPr>
        <w:t>“</w:t>
      </w:r>
      <w:proofErr w:type="spellStart"/>
      <w:r>
        <w:rPr>
          <w:rStyle w:val="sources-text"/>
        </w:rPr>
        <w:t>Alchemie</w:t>
      </w:r>
      <w:proofErr w:type="spellEnd"/>
      <w:r>
        <w:rPr>
          <w:rStyle w:val="sources-text"/>
        </w:rPr>
        <w:t xml:space="preserve"> und </w:t>
      </w:r>
      <w:proofErr w:type="spellStart"/>
      <w:r>
        <w:rPr>
          <w:rStyle w:val="sources-text"/>
        </w:rPr>
        <w:t>Musik</w:t>
      </w:r>
      <w:proofErr w:type="spellEnd"/>
      <w:r>
        <w:rPr>
          <w:rStyle w:val="sources-text"/>
        </w:rPr>
        <w:t>.”</w:t>
      </w:r>
      <w:proofErr w:type="gramEnd"/>
      <w:r>
        <w:rPr>
          <w:rStyle w:val="sources-text"/>
        </w:rPr>
        <w:t xml:space="preserve"> In </w:t>
      </w:r>
      <w:r>
        <w:rPr>
          <w:rStyle w:val="Emphasis"/>
        </w:rPr>
        <w:t xml:space="preserve">Die </w:t>
      </w:r>
      <w:proofErr w:type="spellStart"/>
      <w:r>
        <w:rPr>
          <w:rStyle w:val="Emphasis"/>
        </w:rPr>
        <w:t>Alchemie</w:t>
      </w:r>
      <w:proofErr w:type="spellEnd"/>
      <w:r>
        <w:rPr>
          <w:rStyle w:val="Emphasis"/>
        </w:rPr>
        <w:t xml:space="preserve"> in der </w:t>
      </w:r>
      <w:proofErr w:type="spellStart"/>
      <w:r>
        <w:rPr>
          <w:rStyle w:val="Emphasis"/>
        </w:rPr>
        <w:t>europäischen</w:t>
      </w:r>
      <w:proofErr w:type="spellEnd"/>
      <w:r>
        <w:rPr>
          <w:rStyle w:val="Emphasis"/>
        </w:rPr>
        <w:t xml:space="preserve"> </w:t>
      </w:r>
      <w:proofErr w:type="spellStart"/>
      <w:r>
        <w:rPr>
          <w:rStyle w:val="Emphasis"/>
        </w:rPr>
        <w:t>Kultur</w:t>
      </w:r>
      <w:proofErr w:type="spellEnd"/>
      <w:r>
        <w:rPr>
          <w:rStyle w:val="Emphasis"/>
        </w:rPr>
        <w:t>- und</w:t>
      </w:r>
      <w:r>
        <w:rPr>
          <w:rStyle w:val="sources-text"/>
        </w:rPr>
        <w:t xml:space="preserve"> </w:t>
      </w:r>
      <w:proofErr w:type="spellStart"/>
      <w:r>
        <w:rPr>
          <w:rStyle w:val="Emphasis"/>
        </w:rPr>
        <w:t>Wissenschaftsgeschichte</w:t>
      </w:r>
      <w:proofErr w:type="spellEnd"/>
      <w:r>
        <w:rPr>
          <w:rStyle w:val="indent"/>
        </w:rPr>
        <w:t xml:space="preserve">, edited by </w:t>
      </w:r>
      <w:proofErr w:type="spellStart"/>
      <w:r>
        <w:rPr>
          <w:rStyle w:val="indent"/>
        </w:rPr>
        <w:t>Christoph</w:t>
      </w:r>
      <w:proofErr w:type="spellEnd"/>
      <w:r>
        <w:rPr>
          <w:rStyle w:val="indent"/>
        </w:rPr>
        <w:t xml:space="preserve"> </w:t>
      </w:r>
      <w:proofErr w:type="spellStart"/>
      <w:r>
        <w:rPr>
          <w:rStyle w:val="indent"/>
        </w:rPr>
        <w:t>Meinel</w:t>
      </w:r>
      <w:proofErr w:type="spellEnd"/>
      <w:r>
        <w:rPr>
          <w:rStyle w:val="indent"/>
        </w:rPr>
        <w:t xml:space="preserve">, 201–7. Wiesbaden: </w:t>
      </w:r>
      <w:proofErr w:type="spellStart"/>
      <w:r>
        <w:rPr>
          <w:rStyle w:val="indent"/>
        </w:rPr>
        <w:t>Harrassowitz</w:t>
      </w:r>
      <w:proofErr w:type="spellEnd"/>
      <w:r>
        <w:rPr>
          <w:rStyle w:val="indent"/>
        </w:rPr>
        <w:t xml:space="preserve">, 1986. </w:t>
      </w:r>
    </w:p>
    <w:p w:rsidR="006A2F82" w:rsidRDefault="006A2F82" w:rsidP="006A2F82">
      <w:proofErr w:type="gramStart"/>
      <w:r>
        <w:rPr>
          <w:rStyle w:val="sources-text"/>
        </w:rPr>
        <w:t xml:space="preserve">Moran, Bruce, Lawrence M. Principe, William R. Newman, Tara E. </w:t>
      </w:r>
      <w:proofErr w:type="spellStart"/>
      <w:r>
        <w:rPr>
          <w:rStyle w:val="sources-text"/>
        </w:rPr>
        <w:t>Nummedal</w:t>
      </w:r>
      <w:proofErr w:type="spellEnd"/>
      <w:r>
        <w:rPr>
          <w:rStyle w:val="sources-text"/>
        </w:rPr>
        <w:t>, and Ku-</w:t>
      </w:r>
      <w:proofErr w:type="spellStart"/>
      <w:r>
        <w:rPr>
          <w:rStyle w:val="sources-text"/>
        </w:rPr>
        <w:t>ming</w:t>
      </w:r>
      <w:proofErr w:type="spellEnd"/>
      <w:r>
        <w:rPr>
          <w:rStyle w:val="sources-text"/>
        </w:rPr>
        <w:t xml:space="preserve"> </w:t>
      </w:r>
      <w:r>
        <w:rPr>
          <w:rStyle w:val="indent"/>
        </w:rPr>
        <w:t>(Kevin) Chang.</w:t>
      </w:r>
      <w:proofErr w:type="gramEnd"/>
      <w:r>
        <w:rPr>
          <w:rStyle w:val="indent"/>
        </w:rPr>
        <w:t xml:space="preserve"> “Forum: Alchemy and the History of Science.” </w:t>
      </w:r>
      <w:r>
        <w:rPr>
          <w:rStyle w:val="Emphasis"/>
        </w:rPr>
        <w:t>Isis</w:t>
      </w:r>
      <w:r>
        <w:rPr>
          <w:rStyle w:val="indent"/>
        </w:rPr>
        <w:t xml:space="preserve"> 102, no. 2 (2011): 300–337. </w:t>
      </w:r>
    </w:p>
    <w:p w:rsidR="006A2F82" w:rsidRDefault="006A2F82" w:rsidP="006A2F82">
      <w:proofErr w:type="gramStart"/>
      <w:r>
        <w:rPr>
          <w:rStyle w:val="sources-text"/>
        </w:rPr>
        <w:t>Newman, William R., and Lawrence M. Principe.</w:t>
      </w:r>
      <w:proofErr w:type="gramEnd"/>
      <w:r>
        <w:rPr>
          <w:rStyle w:val="sources-text"/>
        </w:rPr>
        <w:t xml:space="preserve"> “Alchemy vs. Chemistry: The Etymological </w:t>
      </w:r>
      <w:r>
        <w:rPr>
          <w:rStyle w:val="indent"/>
        </w:rPr>
        <w:t xml:space="preserve">Origins of a </w:t>
      </w:r>
      <w:proofErr w:type="spellStart"/>
      <w:r>
        <w:rPr>
          <w:rStyle w:val="indent"/>
        </w:rPr>
        <w:t>Historiographic</w:t>
      </w:r>
      <w:proofErr w:type="spellEnd"/>
      <w:r>
        <w:rPr>
          <w:rStyle w:val="indent"/>
        </w:rPr>
        <w:t xml:space="preserve"> Mistake.” </w:t>
      </w:r>
      <w:r>
        <w:rPr>
          <w:rStyle w:val="Emphasis"/>
        </w:rPr>
        <w:t>Early Science and Medicine</w:t>
      </w:r>
      <w:r>
        <w:rPr>
          <w:rStyle w:val="indent"/>
        </w:rPr>
        <w:t xml:space="preserve"> 3, no. 1 (1998): 32–65. </w:t>
      </w:r>
    </w:p>
    <w:p w:rsidR="006A2F82" w:rsidRDefault="006A2F82" w:rsidP="006A2F82">
      <w:proofErr w:type="spellStart"/>
      <w:r>
        <w:rPr>
          <w:rStyle w:val="sources-text"/>
        </w:rPr>
        <w:t>Nummedal</w:t>
      </w:r>
      <w:proofErr w:type="spellEnd"/>
      <w:r>
        <w:rPr>
          <w:rStyle w:val="sources-text"/>
        </w:rPr>
        <w:t xml:space="preserve">, Tara. </w:t>
      </w:r>
      <w:proofErr w:type="gramStart"/>
      <w:r>
        <w:rPr>
          <w:rStyle w:val="Emphasis"/>
        </w:rPr>
        <w:t>Alchemy and Authority in the Holy Roman Empire</w:t>
      </w:r>
      <w:r>
        <w:rPr>
          <w:rStyle w:val="sources-text"/>
        </w:rPr>
        <w:t>.</w:t>
      </w:r>
      <w:proofErr w:type="gramEnd"/>
      <w:r>
        <w:rPr>
          <w:rStyle w:val="sources-text"/>
        </w:rPr>
        <w:t xml:space="preserve"> Chicago: University of </w:t>
      </w:r>
      <w:r>
        <w:rPr>
          <w:rStyle w:val="indent"/>
        </w:rPr>
        <w:t xml:space="preserve">Chicago Press, 2007. </w:t>
      </w:r>
    </w:p>
    <w:p w:rsidR="006A2F82" w:rsidRDefault="006A2F82" w:rsidP="006A2F82">
      <w:proofErr w:type="gramStart"/>
      <w:r>
        <w:rPr>
          <w:rStyle w:val="sources-text"/>
        </w:rPr>
        <w:t>Principe, Lawrence M.</w:t>
      </w:r>
      <w:proofErr w:type="gramEnd"/>
      <w:r>
        <w:rPr>
          <w:rStyle w:val="sources-text"/>
        </w:rPr>
        <w:t xml:space="preserve"> </w:t>
      </w:r>
      <w:proofErr w:type="gramStart"/>
      <w:r>
        <w:rPr>
          <w:rStyle w:val="Emphasis"/>
        </w:rPr>
        <w:t>The Secrets of Alchemy</w:t>
      </w:r>
      <w:r>
        <w:rPr>
          <w:rStyle w:val="sources-text"/>
        </w:rPr>
        <w:t>.</w:t>
      </w:r>
      <w:proofErr w:type="gramEnd"/>
      <w:r>
        <w:rPr>
          <w:rStyle w:val="sources-text"/>
        </w:rPr>
        <w:t xml:space="preserve"> Chicago: University of Chicago Press, 2013. </w:t>
      </w:r>
    </w:p>
    <w:p w:rsidR="006A2F82" w:rsidRDefault="006A2F82" w:rsidP="006A2F82">
      <w:proofErr w:type="spellStart"/>
      <w:r>
        <w:rPr>
          <w:rStyle w:val="sources-text"/>
        </w:rPr>
        <w:t>Raasveld</w:t>
      </w:r>
      <w:proofErr w:type="spellEnd"/>
      <w:r>
        <w:rPr>
          <w:rStyle w:val="sources-text"/>
        </w:rPr>
        <w:t xml:space="preserve">, Paul P. “Michael </w:t>
      </w:r>
      <w:proofErr w:type="spellStart"/>
      <w:r>
        <w:rPr>
          <w:rStyle w:val="sources-text"/>
        </w:rPr>
        <w:t>Maiers</w:t>
      </w:r>
      <w:proofErr w:type="spellEnd"/>
      <w:r>
        <w:rPr>
          <w:rStyle w:val="sources-text"/>
        </w:rPr>
        <w:t xml:space="preserve">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sources-text"/>
        </w:rPr>
        <w:t xml:space="preserve"> (1617) und das </w:t>
      </w:r>
      <w:proofErr w:type="spellStart"/>
      <w:r>
        <w:rPr>
          <w:rStyle w:val="sources-text"/>
        </w:rPr>
        <w:t>Kompositionsmodell</w:t>
      </w:r>
      <w:proofErr w:type="spellEnd"/>
      <w:r>
        <w:rPr>
          <w:rStyle w:val="sources-text"/>
        </w:rPr>
        <w:t xml:space="preserve"> in </w:t>
      </w:r>
      <w:r>
        <w:rPr>
          <w:rStyle w:val="indent"/>
        </w:rPr>
        <w:t xml:space="preserve">Johannes </w:t>
      </w:r>
      <w:proofErr w:type="spellStart"/>
      <w:r>
        <w:rPr>
          <w:rStyle w:val="indent"/>
        </w:rPr>
        <w:t>Lippius</w:t>
      </w:r>
      <w:proofErr w:type="spellEnd"/>
      <w:r>
        <w:rPr>
          <w:rStyle w:val="indent"/>
        </w:rPr>
        <w:t xml:space="preserve">’ </w:t>
      </w:r>
      <w:r>
        <w:rPr>
          <w:rStyle w:val="Emphasis"/>
        </w:rPr>
        <w:t xml:space="preserve">Synopsis </w:t>
      </w:r>
      <w:proofErr w:type="spellStart"/>
      <w:r>
        <w:rPr>
          <w:rStyle w:val="Emphasis"/>
        </w:rPr>
        <w:t>musicae</w:t>
      </w:r>
      <w:proofErr w:type="spellEnd"/>
      <w:r>
        <w:rPr>
          <w:rStyle w:val="Emphasis"/>
        </w:rPr>
        <w:t xml:space="preserve"> novae</w:t>
      </w:r>
      <w:r>
        <w:rPr>
          <w:rStyle w:val="indent"/>
        </w:rPr>
        <w:t xml:space="preserve"> (1612).” In </w:t>
      </w:r>
      <w:r>
        <w:rPr>
          <w:rStyle w:val="Emphasis"/>
        </w:rPr>
        <w:t xml:space="preserve">From </w:t>
      </w:r>
      <w:proofErr w:type="spellStart"/>
      <w:r>
        <w:rPr>
          <w:rStyle w:val="Emphasis"/>
        </w:rPr>
        <w:t>Ciconia</w:t>
      </w:r>
      <w:proofErr w:type="spellEnd"/>
      <w:r>
        <w:rPr>
          <w:rStyle w:val="Emphasis"/>
        </w:rPr>
        <w:t xml:space="preserve"> to Sweelinck: </w:t>
      </w:r>
      <w:proofErr w:type="spellStart"/>
      <w:r>
        <w:rPr>
          <w:rStyle w:val="Emphasis"/>
        </w:rPr>
        <w:t>donum</w:t>
      </w:r>
      <w:proofErr w:type="spellEnd"/>
      <w:r>
        <w:rPr>
          <w:rStyle w:val="Emphasis"/>
        </w:rPr>
        <w:t xml:space="preserve"> </w:t>
      </w:r>
      <w:proofErr w:type="spellStart"/>
      <w:r>
        <w:rPr>
          <w:rStyle w:val="Emphasis"/>
        </w:rPr>
        <w:t>natalicium</w:t>
      </w:r>
      <w:proofErr w:type="spellEnd"/>
      <w:r>
        <w:rPr>
          <w:rStyle w:val="Emphasis"/>
        </w:rPr>
        <w:t xml:space="preserve"> Willem Elders</w:t>
      </w:r>
      <w:r>
        <w:rPr>
          <w:rStyle w:val="indent"/>
        </w:rPr>
        <w:t xml:space="preserve">, edited by Albert Clement and Eric Jas, 355–68. Amsterdam: </w:t>
      </w:r>
      <w:proofErr w:type="spellStart"/>
      <w:r>
        <w:rPr>
          <w:rStyle w:val="indent"/>
        </w:rPr>
        <w:t>Rodopi</w:t>
      </w:r>
      <w:proofErr w:type="spellEnd"/>
      <w:r>
        <w:rPr>
          <w:rStyle w:val="indent"/>
        </w:rPr>
        <w:t xml:space="preserve">, 1994. </w:t>
      </w:r>
    </w:p>
    <w:p w:rsidR="006A2F82" w:rsidRDefault="006A2F82" w:rsidP="006A2F82">
      <w:proofErr w:type="spellStart"/>
      <w:proofErr w:type="gramStart"/>
      <w:r>
        <w:rPr>
          <w:rStyle w:val="sources-text"/>
        </w:rPr>
        <w:t>Schiltz</w:t>
      </w:r>
      <w:proofErr w:type="spellEnd"/>
      <w:r>
        <w:rPr>
          <w:rStyle w:val="sources-text"/>
        </w:rPr>
        <w:t xml:space="preserve">, </w:t>
      </w:r>
      <w:proofErr w:type="spellStart"/>
      <w:r>
        <w:rPr>
          <w:rStyle w:val="sources-text"/>
        </w:rPr>
        <w:t>Katelijne</w:t>
      </w:r>
      <w:proofErr w:type="spellEnd"/>
      <w:r>
        <w:rPr>
          <w:rStyle w:val="sources-text"/>
        </w:rPr>
        <w:t>, and Bonnie J. Blackburn.</w:t>
      </w:r>
      <w:proofErr w:type="gramEnd"/>
      <w:r>
        <w:rPr>
          <w:rStyle w:val="sources-text"/>
        </w:rPr>
        <w:t xml:space="preserve"> </w:t>
      </w:r>
      <w:proofErr w:type="gramStart"/>
      <w:r>
        <w:rPr>
          <w:rStyle w:val="Emphasis"/>
        </w:rPr>
        <w:t>Music and Riddle Culture in the Renaissance</w:t>
      </w:r>
      <w:r>
        <w:rPr>
          <w:rStyle w:val="sources-text"/>
        </w:rPr>
        <w:t>.</w:t>
      </w:r>
      <w:proofErr w:type="gramEnd"/>
      <w:r>
        <w:rPr>
          <w:rStyle w:val="sources-text"/>
        </w:rPr>
        <w:t xml:space="preserve"> </w:t>
      </w:r>
      <w:r>
        <w:rPr>
          <w:rStyle w:val="indent"/>
        </w:rPr>
        <w:t xml:space="preserve">New York: Cambridge University Press, 2015. </w:t>
      </w:r>
    </w:p>
    <w:p w:rsidR="006A2F82" w:rsidRDefault="006A2F82" w:rsidP="006A2F82">
      <w:r>
        <w:rPr>
          <w:rStyle w:val="sources-text"/>
        </w:rPr>
        <w:t xml:space="preserve">Sherman, Bill. </w:t>
      </w:r>
      <w:proofErr w:type="gramStart"/>
      <w:r>
        <w:rPr>
          <w:rStyle w:val="sources-text"/>
        </w:rPr>
        <w:t>“The History of Cryptography.”</w:t>
      </w:r>
      <w:proofErr w:type="gramEnd"/>
      <w:r>
        <w:rPr>
          <w:rStyle w:val="sources-text"/>
        </w:rPr>
        <w:t xml:space="preserve"> </w:t>
      </w:r>
      <w:proofErr w:type="gramStart"/>
      <w:r>
        <w:rPr>
          <w:rStyle w:val="sources-text"/>
        </w:rPr>
        <w:t xml:space="preserve">In </w:t>
      </w:r>
      <w:r>
        <w:rPr>
          <w:rStyle w:val="Emphasis"/>
        </w:rPr>
        <w:t xml:space="preserve">The </w:t>
      </w:r>
      <w:proofErr w:type="spellStart"/>
      <w:r>
        <w:rPr>
          <w:rStyle w:val="Emphasis"/>
        </w:rPr>
        <w:t>Voynich</w:t>
      </w:r>
      <w:proofErr w:type="spellEnd"/>
      <w:r>
        <w:rPr>
          <w:rStyle w:val="Emphasis"/>
        </w:rPr>
        <w:t xml:space="preserve"> Manuscript</w:t>
      </w:r>
      <w:r>
        <w:rPr>
          <w:rStyle w:val="sources-text"/>
        </w:rPr>
        <w:t xml:space="preserve">, edited by Ray </w:t>
      </w:r>
      <w:r>
        <w:rPr>
          <w:rStyle w:val="indent"/>
        </w:rPr>
        <w:t>Clemens.</w:t>
      </w:r>
      <w:proofErr w:type="gramEnd"/>
      <w:r>
        <w:rPr>
          <w:rStyle w:val="indent"/>
        </w:rPr>
        <w:t xml:space="preserve"> New Haven: Yale University Press, 2016. </w:t>
      </w:r>
    </w:p>
    <w:p w:rsidR="006A2F82" w:rsidRDefault="006A2F82" w:rsidP="006A2F82">
      <w:proofErr w:type="gramStart"/>
      <w:r>
        <w:rPr>
          <w:rStyle w:val="sources-text"/>
        </w:rPr>
        <w:t>Sleeper, Helen Joy.</w:t>
      </w:r>
      <w:proofErr w:type="gramEnd"/>
      <w:r>
        <w:rPr>
          <w:rStyle w:val="sources-text"/>
        </w:rPr>
        <w:t xml:space="preserve"> </w:t>
      </w:r>
      <w:r>
        <w:rPr>
          <w:rStyle w:val="Emphasis"/>
        </w:rPr>
        <w:t>The Alchemical Fugues in Count 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w:t>
      </w:r>
      <w:r>
        <w:rPr>
          <w:rStyle w:val="sources-text"/>
        </w:rPr>
        <w:t xml:space="preserve"> </w:t>
      </w:r>
      <w:r>
        <w:rPr>
          <w:rStyle w:val="indent"/>
        </w:rPr>
        <w:t xml:space="preserve">Easton, PA: Section of Chemical Education, American Chemical Society, 1938. </w:t>
      </w:r>
    </w:p>
    <w:p w:rsidR="006A2F82" w:rsidRDefault="006A2F82" w:rsidP="006A2F82">
      <w:r>
        <w:rPr>
          <w:rStyle w:val="sources-text"/>
        </w:rPr>
        <w:t xml:space="preserve">Smith, Pamela H. </w:t>
      </w:r>
      <w:r>
        <w:rPr>
          <w:rStyle w:val="Emphasis"/>
        </w:rPr>
        <w:t>The Body of the Artisan: Art and Experience in the Scientific Revolution</w:t>
      </w:r>
      <w:r>
        <w:rPr>
          <w:rStyle w:val="sources-text"/>
        </w:rPr>
        <w:t xml:space="preserve">. Chicago: </w:t>
      </w:r>
      <w:r>
        <w:rPr>
          <w:rStyle w:val="indent"/>
        </w:rPr>
        <w:t xml:space="preserve">University of Chicago Press, 2004. </w:t>
      </w:r>
    </w:p>
    <w:p w:rsidR="006A2F82" w:rsidRDefault="006A2F82" w:rsidP="006A2F82">
      <w:proofErr w:type="spellStart"/>
      <w:r>
        <w:rPr>
          <w:rStyle w:val="sources-text"/>
        </w:rPr>
        <w:t>Szőnyi</w:t>
      </w:r>
      <w:proofErr w:type="spellEnd"/>
      <w:r>
        <w:rPr>
          <w:rStyle w:val="sources-text"/>
        </w:rPr>
        <w:t xml:space="preserve">, G. E. “Occult Semiotics and Iconology: Michael Maier's Alchemical Emblems.” In </w:t>
      </w:r>
      <w:r>
        <w:rPr>
          <w:rStyle w:val="Emphasis"/>
        </w:rPr>
        <w:t xml:space="preserve">Mundus </w:t>
      </w:r>
      <w:proofErr w:type="spellStart"/>
      <w:r>
        <w:rPr>
          <w:rStyle w:val="Emphasis"/>
        </w:rPr>
        <w:t>Emblematicus</w:t>
      </w:r>
      <w:proofErr w:type="spellEnd"/>
      <w:r>
        <w:rPr>
          <w:rStyle w:val="Emphasis"/>
        </w:rPr>
        <w:t>: Studies in Neo-Latin Emblem Books</w:t>
      </w:r>
      <w:r>
        <w:rPr>
          <w:rStyle w:val="indent"/>
        </w:rPr>
        <w:t xml:space="preserve">, edited by Karl A. E. </w:t>
      </w:r>
      <w:proofErr w:type="spellStart"/>
      <w:r>
        <w:rPr>
          <w:rStyle w:val="indent"/>
        </w:rPr>
        <w:t>Enenkel</w:t>
      </w:r>
      <w:proofErr w:type="spellEnd"/>
      <w:r>
        <w:rPr>
          <w:rStyle w:val="indent"/>
        </w:rPr>
        <w:t xml:space="preserve"> and </w:t>
      </w:r>
      <w:proofErr w:type="spellStart"/>
      <w:r>
        <w:rPr>
          <w:rStyle w:val="indent"/>
        </w:rPr>
        <w:t>Arnoud</w:t>
      </w:r>
      <w:proofErr w:type="spellEnd"/>
      <w:r>
        <w:rPr>
          <w:rStyle w:val="indent"/>
        </w:rPr>
        <w:t xml:space="preserve"> S. Q. </w:t>
      </w:r>
      <w:proofErr w:type="spellStart"/>
      <w:r>
        <w:rPr>
          <w:rStyle w:val="indent"/>
        </w:rPr>
        <w:t>Visser</w:t>
      </w:r>
      <w:proofErr w:type="spellEnd"/>
      <w:r>
        <w:rPr>
          <w:rStyle w:val="indent"/>
        </w:rPr>
        <w:t xml:space="preserve">. </w:t>
      </w:r>
      <w:proofErr w:type="spellStart"/>
      <w:r>
        <w:rPr>
          <w:rStyle w:val="indent"/>
        </w:rPr>
        <w:t>Turnhout</w:t>
      </w:r>
      <w:proofErr w:type="spellEnd"/>
      <w:r>
        <w:rPr>
          <w:rStyle w:val="indent"/>
        </w:rPr>
        <w:t xml:space="preserve">: </w:t>
      </w:r>
      <w:proofErr w:type="spellStart"/>
      <w:r>
        <w:rPr>
          <w:rStyle w:val="indent"/>
        </w:rPr>
        <w:t>Brepols</w:t>
      </w:r>
      <w:proofErr w:type="spellEnd"/>
      <w:r>
        <w:rPr>
          <w:rStyle w:val="indent"/>
        </w:rPr>
        <w:t xml:space="preserve">, 2003. </w:t>
      </w:r>
    </w:p>
    <w:p w:rsidR="006A2F82" w:rsidRDefault="006A2F82" w:rsidP="006A2F82">
      <w:r>
        <w:rPr>
          <w:rStyle w:val="sources-text"/>
        </w:rPr>
        <w:t xml:space="preserve">Tilton, </w:t>
      </w:r>
      <w:proofErr w:type="spellStart"/>
      <w:r>
        <w:rPr>
          <w:rStyle w:val="sources-text"/>
        </w:rPr>
        <w:t>Hereward</w:t>
      </w:r>
      <w:proofErr w:type="spellEnd"/>
      <w:r>
        <w:rPr>
          <w:rStyle w:val="sources-text"/>
        </w:rPr>
        <w:t xml:space="preserve">. </w:t>
      </w:r>
      <w:r>
        <w:rPr>
          <w:rStyle w:val="Emphasis"/>
        </w:rPr>
        <w:t xml:space="preserve">The Quest for the Phoenix: Spiritual Alchemy and </w:t>
      </w:r>
      <w:proofErr w:type="spellStart"/>
      <w:r>
        <w:rPr>
          <w:rStyle w:val="Emphasis"/>
        </w:rPr>
        <w:t>Rosicrucianism</w:t>
      </w:r>
      <w:proofErr w:type="spellEnd"/>
      <w:r>
        <w:rPr>
          <w:rStyle w:val="Emphasis"/>
        </w:rPr>
        <w:t xml:space="preserve"> in the Work</w:t>
      </w:r>
      <w:r>
        <w:rPr>
          <w:rStyle w:val="sources-text"/>
        </w:rPr>
        <w:t xml:space="preserve"> </w:t>
      </w:r>
      <w:r>
        <w:rPr>
          <w:rStyle w:val="Emphasis"/>
        </w:rPr>
        <w:t>of Count Michael Maier (1569–1622)</w:t>
      </w:r>
      <w:r>
        <w:rPr>
          <w:rStyle w:val="indent"/>
        </w:rPr>
        <w:t xml:space="preserve">. Berlin: Walter de </w:t>
      </w:r>
      <w:proofErr w:type="spellStart"/>
      <w:r>
        <w:rPr>
          <w:rStyle w:val="indent"/>
        </w:rPr>
        <w:t>Gruyter</w:t>
      </w:r>
      <w:proofErr w:type="spellEnd"/>
      <w:r>
        <w:rPr>
          <w:rStyle w:val="indent"/>
        </w:rPr>
        <w:t xml:space="preserve">, 2003. </w:t>
      </w:r>
    </w:p>
    <w:p w:rsidR="006A2F82" w:rsidRDefault="006A2F82" w:rsidP="006A2F82">
      <w:r>
        <w:rPr>
          <w:rStyle w:val="sources-text"/>
        </w:rPr>
        <w:t xml:space="preserve">Wels, </w:t>
      </w:r>
      <w:proofErr w:type="spellStart"/>
      <w:r>
        <w:rPr>
          <w:rStyle w:val="sources-text"/>
        </w:rPr>
        <w:t>Volkhard</w:t>
      </w:r>
      <w:proofErr w:type="spellEnd"/>
      <w:r>
        <w:rPr>
          <w:rStyle w:val="sources-text"/>
        </w:rPr>
        <w:t>. “</w:t>
      </w:r>
      <w:proofErr w:type="spellStart"/>
      <w:r>
        <w:rPr>
          <w:rStyle w:val="sources-text"/>
        </w:rPr>
        <w:t>Poetischer</w:t>
      </w:r>
      <w:proofErr w:type="spellEnd"/>
      <w:r>
        <w:rPr>
          <w:rStyle w:val="sources-text"/>
        </w:rPr>
        <w:t xml:space="preserve"> </w:t>
      </w:r>
      <w:proofErr w:type="spellStart"/>
      <w:r>
        <w:rPr>
          <w:rStyle w:val="sources-text"/>
        </w:rPr>
        <w:t>Hermetismus</w:t>
      </w:r>
      <w:proofErr w:type="spellEnd"/>
      <w:r>
        <w:rPr>
          <w:rStyle w:val="sources-text"/>
        </w:rPr>
        <w:t xml:space="preserve">. </w:t>
      </w:r>
      <w:proofErr w:type="gramStart"/>
      <w:r>
        <w:rPr>
          <w:rStyle w:val="sources-text"/>
        </w:rPr>
        <w:t xml:space="preserve">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sources-text"/>
        </w:rPr>
        <w:t xml:space="preserve"> (1617/18).”</w:t>
      </w:r>
      <w:proofErr w:type="gramEnd"/>
      <w:r>
        <w:rPr>
          <w:rStyle w:val="sources-text"/>
        </w:rPr>
        <w:t xml:space="preserve"> In </w:t>
      </w:r>
      <w:proofErr w:type="spellStart"/>
      <w:r>
        <w:rPr>
          <w:rStyle w:val="Emphasis"/>
        </w:rPr>
        <w:t>Konzepte</w:t>
      </w:r>
      <w:proofErr w:type="spellEnd"/>
      <w:r>
        <w:rPr>
          <w:rStyle w:val="Emphasis"/>
        </w:rPr>
        <w:t xml:space="preserve"> des </w:t>
      </w:r>
      <w:proofErr w:type="spellStart"/>
      <w:r>
        <w:rPr>
          <w:rStyle w:val="Emphasis"/>
        </w:rPr>
        <w:t>Hermetismus</w:t>
      </w:r>
      <w:proofErr w:type="spellEnd"/>
      <w:r>
        <w:rPr>
          <w:rStyle w:val="Emphasis"/>
        </w:rPr>
        <w:t xml:space="preserve"> in der </w:t>
      </w:r>
      <w:proofErr w:type="spellStart"/>
      <w:r>
        <w:rPr>
          <w:rStyle w:val="Emphasis"/>
        </w:rPr>
        <w:t>Literatur</w:t>
      </w:r>
      <w:proofErr w:type="spellEnd"/>
      <w:r>
        <w:rPr>
          <w:rStyle w:val="Emphasis"/>
        </w:rPr>
        <w:t xml:space="preserve"> der </w:t>
      </w:r>
      <w:proofErr w:type="spellStart"/>
      <w:r>
        <w:rPr>
          <w:rStyle w:val="Emphasis"/>
        </w:rPr>
        <w:t>Frühen</w:t>
      </w:r>
      <w:proofErr w:type="spellEnd"/>
      <w:r>
        <w:rPr>
          <w:rStyle w:val="Emphasis"/>
        </w:rPr>
        <w:t xml:space="preserve"> </w:t>
      </w:r>
      <w:proofErr w:type="spellStart"/>
      <w:r>
        <w:rPr>
          <w:rStyle w:val="Emphasis"/>
        </w:rPr>
        <w:t>Neuzeit</w:t>
      </w:r>
      <w:proofErr w:type="spellEnd"/>
      <w:r>
        <w:rPr>
          <w:rStyle w:val="indent"/>
        </w:rPr>
        <w:t xml:space="preserve">, edited by Peter-André Alt and </w:t>
      </w:r>
      <w:proofErr w:type="spellStart"/>
      <w:r>
        <w:rPr>
          <w:rStyle w:val="indent"/>
        </w:rPr>
        <w:t>Volkhard</w:t>
      </w:r>
      <w:proofErr w:type="spellEnd"/>
      <w:r>
        <w:rPr>
          <w:rStyle w:val="indent"/>
        </w:rPr>
        <w:t xml:space="preserve"> Wels. </w:t>
      </w:r>
      <w:proofErr w:type="spellStart"/>
      <w:r>
        <w:rPr>
          <w:rStyle w:val="indent"/>
        </w:rPr>
        <w:t>Göttingen</w:t>
      </w:r>
      <w:proofErr w:type="spellEnd"/>
      <w:r>
        <w:rPr>
          <w:rStyle w:val="indent"/>
        </w:rPr>
        <w:t xml:space="preserve">: V&amp;R </w:t>
      </w:r>
      <w:proofErr w:type="spellStart"/>
      <w:r>
        <w:rPr>
          <w:rStyle w:val="indent"/>
        </w:rPr>
        <w:t>Unipress</w:t>
      </w:r>
      <w:proofErr w:type="spellEnd"/>
      <w:r>
        <w:rPr>
          <w:rStyle w:val="indent"/>
        </w:rPr>
        <w:t xml:space="preserve">, 2010. </w:t>
      </w:r>
    </w:p>
    <w:p w:rsidR="006A2F82" w:rsidRDefault="006A2F82" w:rsidP="006A2F82">
      <w:pPr>
        <w:pStyle w:val="Heading2"/>
      </w:pPr>
      <w:r>
        <w:t>Citation</w:t>
      </w:r>
    </w:p>
    <w:p w:rsidR="006A2F82" w:rsidRDefault="006A2F82" w:rsidP="006A2F82">
      <w:pPr>
        <w:pStyle w:val="NormalWeb"/>
      </w:pPr>
      <w:proofErr w:type="spellStart"/>
      <w:proofErr w:type="gramStart"/>
      <w:r>
        <w:t>Nummedal</w:t>
      </w:r>
      <w:proofErr w:type="spellEnd"/>
      <w:r>
        <w:t xml:space="preserve">, Tara, and Donna </w:t>
      </w:r>
      <w:proofErr w:type="spellStart"/>
      <w:r>
        <w:t>Bilak</w:t>
      </w:r>
      <w:proofErr w:type="spellEnd"/>
      <w:r>
        <w:t>.</w:t>
      </w:r>
      <w:proofErr w:type="gramEnd"/>
      <w:r>
        <w:t xml:space="preserve"> “Interplay: New Scholarship on </w:t>
      </w:r>
      <w:proofErr w:type="spellStart"/>
      <w:r>
        <w:rPr>
          <w:rStyle w:val="Emphasis"/>
        </w:rPr>
        <w:t>Atalanta</w:t>
      </w:r>
      <w:proofErr w:type="spellEnd"/>
      <w:r>
        <w:rPr>
          <w:rStyle w:val="Emphasis"/>
        </w:rPr>
        <w:t xml:space="preserve"> </w:t>
      </w:r>
      <w:proofErr w:type="spellStart"/>
      <w:r>
        <w:rPr>
          <w:rStyle w:val="Emphasis"/>
        </w:rPr>
        <w:t>fugiens</w:t>
      </w:r>
      <w:proofErr w:type="spellEnd"/>
      <w:r>
        <w:t xml:space="preserve">.” </w:t>
      </w:r>
      <w:r>
        <w:rPr>
          <w:rStyle w:val="Emphasis"/>
        </w:rPr>
        <w:t>Furnace and Fugue: A Digital Edition of Michael Maier's “</w:t>
      </w:r>
      <w:proofErr w:type="spellStart"/>
      <w:r>
        <w:rPr>
          <w:rStyle w:val="Emphasis"/>
        </w:rPr>
        <w:t>Atalanta</w:t>
      </w:r>
      <w:proofErr w:type="spellEnd"/>
      <w:r>
        <w:rPr>
          <w:rStyle w:val="Emphasis"/>
        </w:rPr>
        <w:t xml:space="preserve"> </w:t>
      </w:r>
      <w:proofErr w:type="spellStart"/>
      <w:r>
        <w:rPr>
          <w:rStyle w:val="Emphasis"/>
        </w:rPr>
        <w:t>fugiens</w:t>
      </w:r>
      <w:proofErr w:type="spellEnd"/>
      <w:r>
        <w:rPr>
          <w:rStyle w:val="Emphasis"/>
        </w:rPr>
        <w:t>” (1618) with Scholarly Commentary</w:t>
      </w:r>
      <w:r>
        <w:t xml:space="preserve">. Charlottesville: University of Virginia Press, 2020. https://doi.org/10.26300/bdp.ff.nummedal-bilak. </w:t>
      </w:r>
    </w:p>
    <w:p w:rsidR="006A2F82" w:rsidRDefault="006A2F82" w:rsidP="006A2F82">
      <w:pPr>
        <w:pStyle w:val="Heading2"/>
      </w:pPr>
      <w:r>
        <w:t>Author Biography</w:t>
      </w:r>
    </w:p>
    <w:p w:rsidR="006A2F82" w:rsidRDefault="006A2F82" w:rsidP="006A2F82">
      <w:pPr>
        <w:pStyle w:val="NormalWeb"/>
      </w:pPr>
      <w:r>
        <w:rPr>
          <w:rStyle w:val="Strong"/>
        </w:rPr>
        <w:t xml:space="preserve">Tara </w:t>
      </w:r>
      <w:proofErr w:type="spellStart"/>
      <w:r>
        <w:rPr>
          <w:rStyle w:val="Strong"/>
        </w:rPr>
        <w:t>Nummedal</w:t>
      </w:r>
      <w:proofErr w:type="spellEnd"/>
      <w:r>
        <w:t xml:space="preserve"> is Professor of History at Brown University, where she teaches courses in early modern European history and the history of science. She is the author of </w:t>
      </w:r>
      <w:r>
        <w:rPr>
          <w:rStyle w:val="Emphasis"/>
        </w:rPr>
        <w:t xml:space="preserve">Anna </w:t>
      </w:r>
      <w:proofErr w:type="spellStart"/>
      <w:r>
        <w:rPr>
          <w:rStyle w:val="Emphasis"/>
        </w:rPr>
        <w:t>Zieglerin</w:t>
      </w:r>
      <w:proofErr w:type="spellEnd"/>
      <w:r>
        <w:rPr>
          <w:rStyle w:val="Emphasis"/>
        </w:rPr>
        <w:t xml:space="preserve"> and the Lion's Blood: Alchemy and End Times in Reformation Germany</w:t>
      </w:r>
      <w:r>
        <w:t xml:space="preserve"> (University of Pennsylvania Press, 2019) and </w:t>
      </w:r>
      <w:r>
        <w:rPr>
          <w:rStyle w:val="Emphasis"/>
        </w:rPr>
        <w:t>Alchemy and Authority in the Holy Roman Empire</w:t>
      </w:r>
      <w:r>
        <w:t xml:space="preserve"> (University of Chicago Press, 2007). She is the coauthor, with Janice </w:t>
      </w:r>
      <w:proofErr w:type="spellStart"/>
      <w:r>
        <w:t>Neri</w:t>
      </w:r>
      <w:proofErr w:type="spellEnd"/>
      <w:r>
        <w:t xml:space="preserve"> and John V. Calhoun, of </w:t>
      </w:r>
      <w:r>
        <w:rPr>
          <w:rStyle w:val="Emphasis"/>
        </w:rPr>
        <w:t xml:space="preserve">John Abbot and William </w:t>
      </w:r>
      <w:proofErr w:type="spellStart"/>
      <w:r>
        <w:rPr>
          <w:rStyle w:val="Emphasis"/>
        </w:rPr>
        <w:t>Swainson</w:t>
      </w:r>
      <w:proofErr w:type="spellEnd"/>
      <w:r>
        <w:rPr>
          <w:rStyle w:val="Emphasis"/>
        </w:rPr>
        <w:t>: Art, Science, and Commerce in Nineteenth-Century Natural History</w:t>
      </w:r>
      <w:r>
        <w:t xml:space="preserve"> (University of Alabama Press, 2019). </w:t>
      </w:r>
    </w:p>
    <w:p w:rsidR="006A2F82" w:rsidRDefault="006A2F82" w:rsidP="006A2F82">
      <w:pPr>
        <w:pStyle w:val="NormalWeb"/>
      </w:pPr>
      <w:r>
        <w:rPr>
          <w:rStyle w:val="Strong"/>
        </w:rPr>
        <w:t xml:space="preserve">Donna </w:t>
      </w:r>
      <w:proofErr w:type="spellStart"/>
      <w:r>
        <w:rPr>
          <w:rStyle w:val="Strong"/>
        </w:rPr>
        <w:t>Bilak</w:t>
      </w:r>
      <w:proofErr w:type="spellEnd"/>
      <w:r>
        <w:t xml:space="preserve"> holds a PhD from Bard Graduate Center: Decorative Arts, Design History, </w:t>
      </w:r>
      <w:proofErr w:type="gramStart"/>
      <w:r>
        <w:t>Material</w:t>
      </w:r>
      <w:proofErr w:type="gramEnd"/>
      <w:r>
        <w:t xml:space="preserve"> Culture. A historian of early modern alchemy, she specializes in the study of </w:t>
      </w:r>
      <w:proofErr w:type="spellStart"/>
      <w:r>
        <w:t>emblematics</w:t>
      </w:r>
      <w:proofErr w:type="spellEnd"/>
      <w:r>
        <w:t xml:space="preserve">. Her research interests extend to jewelry history and technology, which draw upon her previous professional experience in Toronto's jewelry industry as a designer and wax model maker. Her scholarship centers on material practices of humanism both in the early modern period and in contemporary society — namely, how intersections of text, images, and the creative and experimental use of materials come together in the creation and application of knowledge. </w:t>
      </w:r>
    </w:p>
    <w:p w:rsidR="006A2F82" w:rsidRDefault="006A2F82" w:rsidP="006A2F82">
      <w:pPr>
        <w:spacing w:after="0"/>
      </w:pPr>
      <w:r>
        <w:rPr>
          <w:noProof/>
          <w:color w:val="0000FF"/>
        </w:rPr>
        <w:drawing>
          <wp:inline distT="0" distB="0" distL="0" distR="0">
            <wp:extent cx="8505825" cy="2038350"/>
            <wp:effectExtent l="0" t="0" r="9525" b="0"/>
            <wp:docPr id="1" name="Picture 1" descr="Logo for University of Virginia Pres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for University of Virginia Press">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5825" cy="2038350"/>
                    </a:xfrm>
                    <a:prstGeom prst="rect">
                      <a:avLst/>
                    </a:prstGeom>
                    <a:noFill/>
                    <a:ln>
                      <a:noFill/>
                    </a:ln>
                  </pic:spPr>
                </pic:pic>
              </a:graphicData>
            </a:graphic>
          </wp:inline>
        </w:drawing>
      </w:r>
      <w:hyperlink r:id="rId47" w:tgtFrame="_blank" w:history="1">
        <w:r>
          <w:rPr>
            <w:rStyle w:val="Hyperlink"/>
          </w:rPr>
          <w:t>Studies in Early Modern German History</w:t>
        </w:r>
      </w:hyperlink>
      <w:r>
        <w:t xml:space="preserve"> </w:t>
      </w:r>
      <w:r>
        <w:rPr>
          <w:rStyle w:val="branding--editor"/>
        </w:rPr>
        <w:t xml:space="preserve">H. C. Erik </w:t>
      </w:r>
      <w:proofErr w:type="spellStart"/>
      <w:r>
        <w:rPr>
          <w:rStyle w:val="branding--editor"/>
        </w:rPr>
        <w:t>Midelfort</w:t>
      </w:r>
      <w:proofErr w:type="spellEnd"/>
      <w:r>
        <w:rPr>
          <w:rStyle w:val="branding--editor"/>
        </w:rPr>
        <w:t>, Series Editor</w:t>
      </w:r>
      <w:r>
        <w:t xml:space="preserve"> </w:t>
      </w:r>
    </w:p>
    <w:p w:rsidR="006A2F82" w:rsidRDefault="006A2F82"/>
    <w:sectPr w:rsidR="006A2F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22999"/>
    <w:multiLevelType w:val="multilevel"/>
    <w:tmpl w:val="2D9A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711037"/>
    <w:multiLevelType w:val="multilevel"/>
    <w:tmpl w:val="81F2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585EA3"/>
    <w:multiLevelType w:val="multilevel"/>
    <w:tmpl w:val="AF86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C65E29"/>
    <w:multiLevelType w:val="multilevel"/>
    <w:tmpl w:val="2CA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93194B"/>
    <w:multiLevelType w:val="multilevel"/>
    <w:tmpl w:val="0E46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F82"/>
    <w:rsid w:val="000B4858"/>
    <w:rsid w:val="00110EAE"/>
    <w:rsid w:val="00193B93"/>
    <w:rsid w:val="002C1182"/>
    <w:rsid w:val="004C237B"/>
    <w:rsid w:val="00504C63"/>
    <w:rsid w:val="0062058F"/>
    <w:rsid w:val="006A15E5"/>
    <w:rsid w:val="006A2F82"/>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2F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A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6A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6A2F8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F82"/>
    <w:rPr>
      <w:color w:val="0000FF" w:themeColor="hyperlink"/>
      <w:u w:val="single"/>
    </w:rPr>
  </w:style>
  <w:style w:type="character" w:customStyle="1" w:styleId="Heading1Char">
    <w:name w:val="Heading 1 Char"/>
    <w:basedOn w:val="DefaultParagraphFont"/>
    <w:link w:val="Heading1"/>
    <w:uiPriority w:val="9"/>
    <w:rsid w:val="006A2F8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2F8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A2F82"/>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6A2F82"/>
    <w:rPr>
      <w:rFonts w:ascii="Times New Roman" w:eastAsia="Times New Roman" w:hAnsi="Times New Roman" w:cs="Times New Roman"/>
      <w:b/>
      <w:bCs/>
      <w:sz w:val="15"/>
      <w:szCs w:val="15"/>
    </w:rPr>
  </w:style>
  <w:style w:type="paragraph" w:styleId="z-TopofForm">
    <w:name w:val="HTML Top of Form"/>
    <w:basedOn w:val="Normal"/>
    <w:next w:val="Normal"/>
    <w:link w:val="z-TopofFormChar"/>
    <w:hidden/>
    <w:uiPriority w:val="99"/>
    <w:semiHidden/>
    <w:unhideWhenUsed/>
    <w:rsid w:val="006A2F8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A2F8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2F8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A2F82"/>
    <w:rPr>
      <w:rFonts w:ascii="Arial" w:eastAsia="Times New Roman" w:hAnsi="Arial" w:cs="Arial"/>
      <w:vanish/>
      <w:sz w:val="16"/>
      <w:szCs w:val="16"/>
    </w:rPr>
  </w:style>
  <w:style w:type="character" w:styleId="Emphasis">
    <w:name w:val="Emphasis"/>
    <w:basedOn w:val="DefaultParagraphFont"/>
    <w:uiPriority w:val="20"/>
    <w:qFormat/>
    <w:rsid w:val="006A2F82"/>
    <w:rPr>
      <w:i/>
      <w:iCs/>
    </w:rPr>
  </w:style>
  <w:style w:type="character" w:customStyle="1" w:styleId="by">
    <w:name w:val="by"/>
    <w:basedOn w:val="DefaultParagraphFont"/>
    <w:rsid w:val="006A2F82"/>
  </w:style>
  <w:style w:type="paragraph" w:styleId="NormalWeb">
    <w:name w:val="Normal (Web)"/>
    <w:basedOn w:val="Normal"/>
    <w:uiPriority w:val="99"/>
    <w:semiHidden/>
    <w:unhideWhenUsed/>
    <w:rsid w:val="006A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2F82"/>
    <w:rPr>
      <w:b/>
      <w:bCs/>
    </w:rPr>
  </w:style>
  <w:style w:type="character" w:customStyle="1" w:styleId="title">
    <w:name w:val="title"/>
    <w:basedOn w:val="DefaultParagraphFont"/>
    <w:rsid w:val="006A2F82"/>
  </w:style>
  <w:style w:type="character" w:customStyle="1" w:styleId="sources-text">
    <w:name w:val="sources-text"/>
    <w:basedOn w:val="DefaultParagraphFont"/>
    <w:rsid w:val="006A2F82"/>
  </w:style>
  <w:style w:type="character" w:customStyle="1" w:styleId="indent">
    <w:name w:val="indent"/>
    <w:basedOn w:val="DefaultParagraphFont"/>
    <w:rsid w:val="006A2F82"/>
  </w:style>
  <w:style w:type="character" w:customStyle="1" w:styleId="name">
    <w:name w:val="name"/>
    <w:basedOn w:val="DefaultParagraphFont"/>
    <w:rsid w:val="006A2F82"/>
  </w:style>
  <w:style w:type="character" w:customStyle="1" w:styleId="collection-name">
    <w:name w:val="collection-name"/>
    <w:basedOn w:val="DefaultParagraphFont"/>
    <w:rsid w:val="006A2F82"/>
  </w:style>
  <w:style w:type="character" w:customStyle="1" w:styleId="branding--editor">
    <w:name w:val="branding--editor"/>
    <w:basedOn w:val="DefaultParagraphFont"/>
    <w:rsid w:val="006A2F82"/>
  </w:style>
  <w:style w:type="paragraph" w:styleId="BalloonText">
    <w:name w:val="Balloon Text"/>
    <w:basedOn w:val="Normal"/>
    <w:link w:val="BalloonTextChar"/>
    <w:uiPriority w:val="99"/>
    <w:semiHidden/>
    <w:unhideWhenUsed/>
    <w:rsid w:val="006A2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F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2F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A2F8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6A2F8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6A2F8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2F82"/>
    <w:rPr>
      <w:color w:val="0000FF" w:themeColor="hyperlink"/>
      <w:u w:val="single"/>
    </w:rPr>
  </w:style>
  <w:style w:type="character" w:customStyle="1" w:styleId="Heading1Char">
    <w:name w:val="Heading 1 Char"/>
    <w:basedOn w:val="DefaultParagraphFont"/>
    <w:link w:val="Heading1"/>
    <w:uiPriority w:val="9"/>
    <w:rsid w:val="006A2F8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A2F8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A2F82"/>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6A2F82"/>
    <w:rPr>
      <w:rFonts w:ascii="Times New Roman" w:eastAsia="Times New Roman" w:hAnsi="Times New Roman" w:cs="Times New Roman"/>
      <w:b/>
      <w:bCs/>
      <w:sz w:val="15"/>
      <w:szCs w:val="15"/>
    </w:rPr>
  </w:style>
  <w:style w:type="paragraph" w:styleId="z-TopofForm">
    <w:name w:val="HTML Top of Form"/>
    <w:basedOn w:val="Normal"/>
    <w:next w:val="Normal"/>
    <w:link w:val="z-TopofFormChar"/>
    <w:hidden/>
    <w:uiPriority w:val="99"/>
    <w:semiHidden/>
    <w:unhideWhenUsed/>
    <w:rsid w:val="006A2F8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A2F8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A2F8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A2F82"/>
    <w:rPr>
      <w:rFonts w:ascii="Arial" w:eastAsia="Times New Roman" w:hAnsi="Arial" w:cs="Arial"/>
      <w:vanish/>
      <w:sz w:val="16"/>
      <w:szCs w:val="16"/>
    </w:rPr>
  </w:style>
  <w:style w:type="character" w:styleId="Emphasis">
    <w:name w:val="Emphasis"/>
    <w:basedOn w:val="DefaultParagraphFont"/>
    <w:uiPriority w:val="20"/>
    <w:qFormat/>
    <w:rsid w:val="006A2F82"/>
    <w:rPr>
      <w:i/>
      <w:iCs/>
    </w:rPr>
  </w:style>
  <w:style w:type="character" w:customStyle="1" w:styleId="by">
    <w:name w:val="by"/>
    <w:basedOn w:val="DefaultParagraphFont"/>
    <w:rsid w:val="006A2F82"/>
  </w:style>
  <w:style w:type="paragraph" w:styleId="NormalWeb">
    <w:name w:val="Normal (Web)"/>
    <w:basedOn w:val="Normal"/>
    <w:uiPriority w:val="99"/>
    <w:semiHidden/>
    <w:unhideWhenUsed/>
    <w:rsid w:val="006A2F8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2F82"/>
    <w:rPr>
      <w:b/>
      <w:bCs/>
    </w:rPr>
  </w:style>
  <w:style w:type="character" w:customStyle="1" w:styleId="title">
    <w:name w:val="title"/>
    <w:basedOn w:val="DefaultParagraphFont"/>
    <w:rsid w:val="006A2F82"/>
  </w:style>
  <w:style w:type="character" w:customStyle="1" w:styleId="sources-text">
    <w:name w:val="sources-text"/>
    <w:basedOn w:val="DefaultParagraphFont"/>
    <w:rsid w:val="006A2F82"/>
  </w:style>
  <w:style w:type="character" w:customStyle="1" w:styleId="indent">
    <w:name w:val="indent"/>
    <w:basedOn w:val="DefaultParagraphFont"/>
    <w:rsid w:val="006A2F82"/>
  </w:style>
  <w:style w:type="character" w:customStyle="1" w:styleId="name">
    <w:name w:val="name"/>
    <w:basedOn w:val="DefaultParagraphFont"/>
    <w:rsid w:val="006A2F82"/>
  </w:style>
  <w:style w:type="character" w:customStyle="1" w:styleId="collection-name">
    <w:name w:val="collection-name"/>
    <w:basedOn w:val="DefaultParagraphFont"/>
    <w:rsid w:val="006A2F82"/>
  </w:style>
  <w:style w:type="character" w:customStyle="1" w:styleId="branding--editor">
    <w:name w:val="branding--editor"/>
    <w:basedOn w:val="DefaultParagraphFont"/>
    <w:rsid w:val="006A2F82"/>
  </w:style>
  <w:style w:type="paragraph" w:styleId="BalloonText">
    <w:name w:val="Balloon Text"/>
    <w:basedOn w:val="Normal"/>
    <w:link w:val="BalloonTextChar"/>
    <w:uiPriority w:val="99"/>
    <w:semiHidden/>
    <w:unhideWhenUsed/>
    <w:rsid w:val="006A2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3007">
      <w:bodyDiv w:val="1"/>
      <w:marLeft w:val="0"/>
      <w:marRight w:val="0"/>
      <w:marTop w:val="0"/>
      <w:marBottom w:val="0"/>
      <w:divBdr>
        <w:top w:val="none" w:sz="0" w:space="0" w:color="auto"/>
        <w:left w:val="none" w:sz="0" w:space="0" w:color="auto"/>
        <w:bottom w:val="none" w:sz="0" w:space="0" w:color="auto"/>
        <w:right w:val="none" w:sz="0" w:space="0" w:color="auto"/>
      </w:divBdr>
      <w:divsChild>
        <w:div w:id="1205871258">
          <w:marLeft w:val="0"/>
          <w:marRight w:val="0"/>
          <w:marTop w:val="0"/>
          <w:marBottom w:val="0"/>
          <w:divBdr>
            <w:top w:val="none" w:sz="0" w:space="0" w:color="auto"/>
            <w:left w:val="none" w:sz="0" w:space="0" w:color="auto"/>
            <w:bottom w:val="none" w:sz="0" w:space="0" w:color="auto"/>
            <w:right w:val="none" w:sz="0" w:space="0" w:color="auto"/>
          </w:divBdr>
          <w:divsChild>
            <w:div w:id="1624536908">
              <w:marLeft w:val="0"/>
              <w:marRight w:val="0"/>
              <w:marTop w:val="0"/>
              <w:marBottom w:val="0"/>
              <w:divBdr>
                <w:top w:val="none" w:sz="0" w:space="0" w:color="auto"/>
                <w:left w:val="none" w:sz="0" w:space="0" w:color="auto"/>
                <w:bottom w:val="none" w:sz="0" w:space="0" w:color="auto"/>
                <w:right w:val="none" w:sz="0" w:space="0" w:color="auto"/>
              </w:divBdr>
              <w:divsChild>
                <w:div w:id="158666008">
                  <w:marLeft w:val="0"/>
                  <w:marRight w:val="0"/>
                  <w:marTop w:val="0"/>
                  <w:marBottom w:val="0"/>
                  <w:divBdr>
                    <w:top w:val="none" w:sz="0" w:space="0" w:color="auto"/>
                    <w:left w:val="none" w:sz="0" w:space="0" w:color="auto"/>
                    <w:bottom w:val="none" w:sz="0" w:space="0" w:color="auto"/>
                    <w:right w:val="none" w:sz="0" w:space="0" w:color="auto"/>
                  </w:divBdr>
                  <w:divsChild>
                    <w:div w:id="803422679">
                      <w:marLeft w:val="0"/>
                      <w:marRight w:val="0"/>
                      <w:marTop w:val="0"/>
                      <w:marBottom w:val="0"/>
                      <w:divBdr>
                        <w:top w:val="none" w:sz="0" w:space="0" w:color="auto"/>
                        <w:left w:val="none" w:sz="0" w:space="0" w:color="auto"/>
                        <w:bottom w:val="none" w:sz="0" w:space="0" w:color="auto"/>
                        <w:right w:val="none" w:sz="0" w:space="0" w:color="auto"/>
                      </w:divBdr>
                    </w:div>
                    <w:div w:id="2951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20274">
          <w:marLeft w:val="0"/>
          <w:marRight w:val="0"/>
          <w:marTop w:val="0"/>
          <w:marBottom w:val="0"/>
          <w:divBdr>
            <w:top w:val="none" w:sz="0" w:space="0" w:color="auto"/>
            <w:left w:val="none" w:sz="0" w:space="0" w:color="auto"/>
            <w:bottom w:val="none" w:sz="0" w:space="0" w:color="auto"/>
            <w:right w:val="none" w:sz="0" w:space="0" w:color="auto"/>
          </w:divBdr>
          <w:divsChild>
            <w:div w:id="908730302">
              <w:marLeft w:val="0"/>
              <w:marRight w:val="0"/>
              <w:marTop w:val="0"/>
              <w:marBottom w:val="0"/>
              <w:divBdr>
                <w:top w:val="none" w:sz="0" w:space="0" w:color="auto"/>
                <w:left w:val="none" w:sz="0" w:space="0" w:color="auto"/>
                <w:bottom w:val="none" w:sz="0" w:space="0" w:color="auto"/>
                <w:right w:val="none" w:sz="0" w:space="0" w:color="auto"/>
              </w:divBdr>
              <w:divsChild>
                <w:div w:id="1939558160">
                  <w:marLeft w:val="0"/>
                  <w:marRight w:val="0"/>
                  <w:marTop w:val="0"/>
                  <w:marBottom w:val="0"/>
                  <w:divBdr>
                    <w:top w:val="none" w:sz="0" w:space="0" w:color="auto"/>
                    <w:left w:val="none" w:sz="0" w:space="0" w:color="auto"/>
                    <w:bottom w:val="none" w:sz="0" w:space="0" w:color="auto"/>
                    <w:right w:val="none" w:sz="0" w:space="0" w:color="auto"/>
                  </w:divBdr>
                  <w:divsChild>
                    <w:div w:id="19112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2137">
              <w:marLeft w:val="0"/>
              <w:marRight w:val="0"/>
              <w:marTop w:val="0"/>
              <w:marBottom w:val="0"/>
              <w:divBdr>
                <w:top w:val="none" w:sz="0" w:space="0" w:color="auto"/>
                <w:left w:val="none" w:sz="0" w:space="0" w:color="auto"/>
                <w:bottom w:val="none" w:sz="0" w:space="0" w:color="auto"/>
                <w:right w:val="none" w:sz="0" w:space="0" w:color="auto"/>
              </w:divBdr>
              <w:divsChild>
                <w:div w:id="164788338">
                  <w:marLeft w:val="0"/>
                  <w:marRight w:val="0"/>
                  <w:marTop w:val="0"/>
                  <w:marBottom w:val="0"/>
                  <w:divBdr>
                    <w:top w:val="none" w:sz="0" w:space="0" w:color="auto"/>
                    <w:left w:val="none" w:sz="0" w:space="0" w:color="auto"/>
                    <w:bottom w:val="none" w:sz="0" w:space="0" w:color="auto"/>
                    <w:right w:val="none" w:sz="0" w:space="0" w:color="auto"/>
                  </w:divBdr>
                  <w:divsChild>
                    <w:div w:id="1150249301">
                      <w:marLeft w:val="0"/>
                      <w:marRight w:val="0"/>
                      <w:marTop w:val="0"/>
                      <w:marBottom w:val="0"/>
                      <w:divBdr>
                        <w:top w:val="none" w:sz="0" w:space="0" w:color="auto"/>
                        <w:left w:val="none" w:sz="0" w:space="0" w:color="auto"/>
                        <w:bottom w:val="none" w:sz="0" w:space="0" w:color="auto"/>
                        <w:right w:val="none" w:sz="0" w:space="0" w:color="auto"/>
                      </w:divBdr>
                    </w:div>
                  </w:divsChild>
                </w:div>
                <w:div w:id="1133215333">
                  <w:marLeft w:val="0"/>
                  <w:marRight w:val="0"/>
                  <w:marTop w:val="0"/>
                  <w:marBottom w:val="0"/>
                  <w:divBdr>
                    <w:top w:val="none" w:sz="0" w:space="0" w:color="auto"/>
                    <w:left w:val="none" w:sz="0" w:space="0" w:color="auto"/>
                    <w:bottom w:val="none" w:sz="0" w:space="0" w:color="auto"/>
                    <w:right w:val="none" w:sz="0" w:space="0" w:color="auto"/>
                  </w:divBdr>
                </w:div>
              </w:divsChild>
            </w:div>
            <w:div w:id="1487357605">
              <w:marLeft w:val="0"/>
              <w:marRight w:val="0"/>
              <w:marTop w:val="0"/>
              <w:marBottom w:val="0"/>
              <w:divBdr>
                <w:top w:val="none" w:sz="0" w:space="0" w:color="auto"/>
                <w:left w:val="none" w:sz="0" w:space="0" w:color="auto"/>
                <w:bottom w:val="none" w:sz="0" w:space="0" w:color="auto"/>
                <w:right w:val="none" w:sz="0" w:space="0" w:color="auto"/>
              </w:divBdr>
              <w:divsChild>
                <w:div w:id="1439105146">
                  <w:marLeft w:val="0"/>
                  <w:marRight w:val="0"/>
                  <w:marTop w:val="0"/>
                  <w:marBottom w:val="0"/>
                  <w:divBdr>
                    <w:top w:val="none" w:sz="0" w:space="0" w:color="auto"/>
                    <w:left w:val="none" w:sz="0" w:space="0" w:color="auto"/>
                    <w:bottom w:val="none" w:sz="0" w:space="0" w:color="auto"/>
                    <w:right w:val="none" w:sz="0" w:space="0" w:color="auto"/>
                  </w:divBdr>
                </w:div>
              </w:divsChild>
            </w:div>
            <w:div w:id="1707675270">
              <w:marLeft w:val="0"/>
              <w:marRight w:val="0"/>
              <w:marTop w:val="0"/>
              <w:marBottom w:val="0"/>
              <w:divBdr>
                <w:top w:val="none" w:sz="0" w:space="0" w:color="auto"/>
                <w:left w:val="none" w:sz="0" w:space="0" w:color="auto"/>
                <w:bottom w:val="none" w:sz="0" w:space="0" w:color="auto"/>
                <w:right w:val="none" w:sz="0" w:space="0" w:color="auto"/>
              </w:divBdr>
              <w:divsChild>
                <w:div w:id="1025978197">
                  <w:marLeft w:val="0"/>
                  <w:marRight w:val="0"/>
                  <w:marTop w:val="0"/>
                  <w:marBottom w:val="0"/>
                  <w:divBdr>
                    <w:top w:val="none" w:sz="0" w:space="0" w:color="auto"/>
                    <w:left w:val="none" w:sz="0" w:space="0" w:color="auto"/>
                    <w:bottom w:val="none" w:sz="0" w:space="0" w:color="auto"/>
                    <w:right w:val="none" w:sz="0" w:space="0" w:color="auto"/>
                  </w:divBdr>
                </w:div>
              </w:divsChild>
            </w:div>
            <w:div w:id="983050185">
              <w:marLeft w:val="0"/>
              <w:marRight w:val="0"/>
              <w:marTop w:val="0"/>
              <w:marBottom w:val="0"/>
              <w:divBdr>
                <w:top w:val="none" w:sz="0" w:space="0" w:color="auto"/>
                <w:left w:val="none" w:sz="0" w:space="0" w:color="auto"/>
                <w:bottom w:val="none" w:sz="0" w:space="0" w:color="auto"/>
                <w:right w:val="none" w:sz="0" w:space="0" w:color="auto"/>
              </w:divBdr>
            </w:div>
            <w:div w:id="1386374833">
              <w:marLeft w:val="0"/>
              <w:marRight w:val="0"/>
              <w:marTop w:val="0"/>
              <w:marBottom w:val="0"/>
              <w:divBdr>
                <w:top w:val="none" w:sz="0" w:space="0" w:color="auto"/>
                <w:left w:val="none" w:sz="0" w:space="0" w:color="auto"/>
                <w:bottom w:val="none" w:sz="0" w:space="0" w:color="auto"/>
                <w:right w:val="none" w:sz="0" w:space="0" w:color="auto"/>
              </w:divBdr>
              <w:divsChild>
                <w:div w:id="662926393">
                  <w:marLeft w:val="0"/>
                  <w:marRight w:val="0"/>
                  <w:marTop w:val="0"/>
                  <w:marBottom w:val="0"/>
                  <w:divBdr>
                    <w:top w:val="none" w:sz="0" w:space="0" w:color="auto"/>
                    <w:left w:val="none" w:sz="0" w:space="0" w:color="auto"/>
                    <w:bottom w:val="none" w:sz="0" w:space="0" w:color="auto"/>
                    <w:right w:val="none" w:sz="0" w:space="0" w:color="auto"/>
                  </w:divBdr>
                  <w:divsChild>
                    <w:div w:id="1756320330">
                      <w:marLeft w:val="0"/>
                      <w:marRight w:val="0"/>
                      <w:marTop w:val="0"/>
                      <w:marBottom w:val="0"/>
                      <w:divBdr>
                        <w:top w:val="none" w:sz="0" w:space="0" w:color="auto"/>
                        <w:left w:val="none" w:sz="0" w:space="0" w:color="auto"/>
                        <w:bottom w:val="none" w:sz="0" w:space="0" w:color="auto"/>
                        <w:right w:val="none" w:sz="0" w:space="0" w:color="auto"/>
                      </w:divBdr>
                    </w:div>
                    <w:div w:id="30081175">
                      <w:marLeft w:val="0"/>
                      <w:marRight w:val="0"/>
                      <w:marTop w:val="0"/>
                      <w:marBottom w:val="0"/>
                      <w:divBdr>
                        <w:top w:val="none" w:sz="0" w:space="0" w:color="auto"/>
                        <w:left w:val="none" w:sz="0" w:space="0" w:color="auto"/>
                        <w:bottom w:val="none" w:sz="0" w:space="0" w:color="auto"/>
                        <w:right w:val="none" w:sz="0" w:space="0" w:color="auto"/>
                      </w:divBdr>
                    </w:div>
                    <w:div w:id="731197726">
                      <w:marLeft w:val="0"/>
                      <w:marRight w:val="0"/>
                      <w:marTop w:val="0"/>
                      <w:marBottom w:val="0"/>
                      <w:divBdr>
                        <w:top w:val="none" w:sz="0" w:space="0" w:color="auto"/>
                        <w:left w:val="none" w:sz="0" w:space="0" w:color="auto"/>
                        <w:bottom w:val="none" w:sz="0" w:space="0" w:color="auto"/>
                        <w:right w:val="none" w:sz="0" w:space="0" w:color="auto"/>
                      </w:divBdr>
                    </w:div>
                    <w:div w:id="1769155269">
                      <w:marLeft w:val="0"/>
                      <w:marRight w:val="0"/>
                      <w:marTop w:val="0"/>
                      <w:marBottom w:val="0"/>
                      <w:divBdr>
                        <w:top w:val="none" w:sz="0" w:space="0" w:color="auto"/>
                        <w:left w:val="none" w:sz="0" w:space="0" w:color="auto"/>
                        <w:bottom w:val="none" w:sz="0" w:space="0" w:color="auto"/>
                        <w:right w:val="none" w:sz="0" w:space="0" w:color="auto"/>
                      </w:divBdr>
                    </w:div>
                    <w:div w:id="1406031202">
                      <w:marLeft w:val="0"/>
                      <w:marRight w:val="0"/>
                      <w:marTop w:val="0"/>
                      <w:marBottom w:val="0"/>
                      <w:divBdr>
                        <w:top w:val="none" w:sz="0" w:space="0" w:color="auto"/>
                        <w:left w:val="none" w:sz="0" w:space="0" w:color="auto"/>
                        <w:bottom w:val="none" w:sz="0" w:space="0" w:color="auto"/>
                        <w:right w:val="none" w:sz="0" w:space="0" w:color="auto"/>
                      </w:divBdr>
                    </w:div>
                    <w:div w:id="555550235">
                      <w:marLeft w:val="0"/>
                      <w:marRight w:val="0"/>
                      <w:marTop w:val="0"/>
                      <w:marBottom w:val="0"/>
                      <w:divBdr>
                        <w:top w:val="none" w:sz="0" w:space="0" w:color="auto"/>
                        <w:left w:val="none" w:sz="0" w:space="0" w:color="auto"/>
                        <w:bottom w:val="none" w:sz="0" w:space="0" w:color="auto"/>
                        <w:right w:val="none" w:sz="0" w:space="0" w:color="auto"/>
                      </w:divBdr>
                    </w:div>
                    <w:div w:id="1185628386">
                      <w:marLeft w:val="0"/>
                      <w:marRight w:val="0"/>
                      <w:marTop w:val="0"/>
                      <w:marBottom w:val="0"/>
                      <w:divBdr>
                        <w:top w:val="none" w:sz="0" w:space="0" w:color="auto"/>
                        <w:left w:val="none" w:sz="0" w:space="0" w:color="auto"/>
                        <w:bottom w:val="none" w:sz="0" w:space="0" w:color="auto"/>
                        <w:right w:val="none" w:sz="0" w:space="0" w:color="auto"/>
                      </w:divBdr>
                    </w:div>
                    <w:div w:id="1014846510">
                      <w:marLeft w:val="0"/>
                      <w:marRight w:val="0"/>
                      <w:marTop w:val="0"/>
                      <w:marBottom w:val="0"/>
                      <w:divBdr>
                        <w:top w:val="none" w:sz="0" w:space="0" w:color="auto"/>
                        <w:left w:val="none" w:sz="0" w:space="0" w:color="auto"/>
                        <w:bottom w:val="none" w:sz="0" w:space="0" w:color="auto"/>
                        <w:right w:val="none" w:sz="0" w:space="0" w:color="auto"/>
                      </w:divBdr>
                    </w:div>
                    <w:div w:id="144201179">
                      <w:marLeft w:val="0"/>
                      <w:marRight w:val="0"/>
                      <w:marTop w:val="0"/>
                      <w:marBottom w:val="0"/>
                      <w:divBdr>
                        <w:top w:val="none" w:sz="0" w:space="0" w:color="auto"/>
                        <w:left w:val="none" w:sz="0" w:space="0" w:color="auto"/>
                        <w:bottom w:val="none" w:sz="0" w:space="0" w:color="auto"/>
                        <w:right w:val="none" w:sz="0" w:space="0" w:color="auto"/>
                      </w:divBdr>
                    </w:div>
                    <w:div w:id="614672741">
                      <w:marLeft w:val="0"/>
                      <w:marRight w:val="0"/>
                      <w:marTop w:val="0"/>
                      <w:marBottom w:val="0"/>
                      <w:divBdr>
                        <w:top w:val="none" w:sz="0" w:space="0" w:color="auto"/>
                        <w:left w:val="none" w:sz="0" w:space="0" w:color="auto"/>
                        <w:bottom w:val="none" w:sz="0" w:space="0" w:color="auto"/>
                        <w:right w:val="none" w:sz="0" w:space="0" w:color="auto"/>
                      </w:divBdr>
                      <w:divsChild>
                        <w:div w:id="1646548000">
                          <w:marLeft w:val="0"/>
                          <w:marRight w:val="0"/>
                          <w:marTop w:val="0"/>
                          <w:marBottom w:val="0"/>
                          <w:divBdr>
                            <w:top w:val="none" w:sz="0" w:space="0" w:color="auto"/>
                            <w:left w:val="none" w:sz="0" w:space="0" w:color="auto"/>
                            <w:bottom w:val="none" w:sz="0" w:space="0" w:color="auto"/>
                            <w:right w:val="none" w:sz="0" w:space="0" w:color="auto"/>
                          </w:divBdr>
                        </w:div>
                        <w:div w:id="2061325437">
                          <w:marLeft w:val="0"/>
                          <w:marRight w:val="0"/>
                          <w:marTop w:val="0"/>
                          <w:marBottom w:val="0"/>
                          <w:divBdr>
                            <w:top w:val="none" w:sz="0" w:space="0" w:color="auto"/>
                            <w:left w:val="none" w:sz="0" w:space="0" w:color="auto"/>
                            <w:bottom w:val="none" w:sz="0" w:space="0" w:color="auto"/>
                            <w:right w:val="none" w:sz="0" w:space="0" w:color="auto"/>
                          </w:divBdr>
                        </w:div>
                        <w:div w:id="1387098986">
                          <w:marLeft w:val="0"/>
                          <w:marRight w:val="0"/>
                          <w:marTop w:val="0"/>
                          <w:marBottom w:val="0"/>
                          <w:divBdr>
                            <w:top w:val="none" w:sz="0" w:space="0" w:color="auto"/>
                            <w:left w:val="none" w:sz="0" w:space="0" w:color="auto"/>
                            <w:bottom w:val="none" w:sz="0" w:space="0" w:color="auto"/>
                            <w:right w:val="none" w:sz="0" w:space="0" w:color="auto"/>
                          </w:divBdr>
                        </w:div>
                        <w:div w:id="1641575695">
                          <w:marLeft w:val="0"/>
                          <w:marRight w:val="0"/>
                          <w:marTop w:val="0"/>
                          <w:marBottom w:val="0"/>
                          <w:divBdr>
                            <w:top w:val="none" w:sz="0" w:space="0" w:color="auto"/>
                            <w:left w:val="none" w:sz="0" w:space="0" w:color="auto"/>
                            <w:bottom w:val="none" w:sz="0" w:space="0" w:color="auto"/>
                            <w:right w:val="none" w:sz="0" w:space="0" w:color="auto"/>
                          </w:divBdr>
                        </w:div>
                        <w:div w:id="1864902602">
                          <w:marLeft w:val="0"/>
                          <w:marRight w:val="0"/>
                          <w:marTop w:val="0"/>
                          <w:marBottom w:val="0"/>
                          <w:divBdr>
                            <w:top w:val="none" w:sz="0" w:space="0" w:color="auto"/>
                            <w:left w:val="none" w:sz="0" w:space="0" w:color="auto"/>
                            <w:bottom w:val="none" w:sz="0" w:space="0" w:color="auto"/>
                            <w:right w:val="none" w:sz="0" w:space="0" w:color="auto"/>
                          </w:divBdr>
                        </w:div>
                        <w:div w:id="1931041913">
                          <w:marLeft w:val="0"/>
                          <w:marRight w:val="0"/>
                          <w:marTop w:val="0"/>
                          <w:marBottom w:val="0"/>
                          <w:divBdr>
                            <w:top w:val="none" w:sz="0" w:space="0" w:color="auto"/>
                            <w:left w:val="none" w:sz="0" w:space="0" w:color="auto"/>
                            <w:bottom w:val="none" w:sz="0" w:space="0" w:color="auto"/>
                            <w:right w:val="none" w:sz="0" w:space="0" w:color="auto"/>
                          </w:divBdr>
                        </w:div>
                        <w:div w:id="780608723">
                          <w:marLeft w:val="0"/>
                          <w:marRight w:val="0"/>
                          <w:marTop w:val="0"/>
                          <w:marBottom w:val="0"/>
                          <w:divBdr>
                            <w:top w:val="none" w:sz="0" w:space="0" w:color="auto"/>
                            <w:left w:val="none" w:sz="0" w:space="0" w:color="auto"/>
                            <w:bottom w:val="none" w:sz="0" w:space="0" w:color="auto"/>
                            <w:right w:val="none" w:sz="0" w:space="0" w:color="auto"/>
                          </w:divBdr>
                        </w:div>
                        <w:div w:id="1090538623">
                          <w:marLeft w:val="0"/>
                          <w:marRight w:val="0"/>
                          <w:marTop w:val="0"/>
                          <w:marBottom w:val="0"/>
                          <w:divBdr>
                            <w:top w:val="none" w:sz="0" w:space="0" w:color="auto"/>
                            <w:left w:val="none" w:sz="0" w:space="0" w:color="auto"/>
                            <w:bottom w:val="none" w:sz="0" w:space="0" w:color="auto"/>
                            <w:right w:val="none" w:sz="0" w:space="0" w:color="auto"/>
                          </w:divBdr>
                        </w:div>
                        <w:div w:id="1304433231">
                          <w:marLeft w:val="0"/>
                          <w:marRight w:val="0"/>
                          <w:marTop w:val="0"/>
                          <w:marBottom w:val="0"/>
                          <w:divBdr>
                            <w:top w:val="none" w:sz="0" w:space="0" w:color="auto"/>
                            <w:left w:val="none" w:sz="0" w:space="0" w:color="auto"/>
                            <w:bottom w:val="none" w:sz="0" w:space="0" w:color="auto"/>
                            <w:right w:val="none" w:sz="0" w:space="0" w:color="auto"/>
                          </w:divBdr>
                        </w:div>
                        <w:div w:id="2114740885">
                          <w:marLeft w:val="0"/>
                          <w:marRight w:val="0"/>
                          <w:marTop w:val="0"/>
                          <w:marBottom w:val="0"/>
                          <w:divBdr>
                            <w:top w:val="none" w:sz="0" w:space="0" w:color="auto"/>
                            <w:left w:val="none" w:sz="0" w:space="0" w:color="auto"/>
                            <w:bottom w:val="none" w:sz="0" w:space="0" w:color="auto"/>
                            <w:right w:val="none" w:sz="0" w:space="0" w:color="auto"/>
                          </w:divBdr>
                        </w:div>
                        <w:div w:id="530656692">
                          <w:marLeft w:val="0"/>
                          <w:marRight w:val="0"/>
                          <w:marTop w:val="0"/>
                          <w:marBottom w:val="0"/>
                          <w:divBdr>
                            <w:top w:val="none" w:sz="0" w:space="0" w:color="auto"/>
                            <w:left w:val="none" w:sz="0" w:space="0" w:color="auto"/>
                            <w:bottom w:val="none" w:sz="0" w:space="0" w:color="auto"/>
                            <w:right w:val="none" w:sz="0" w:space="0" w:color="auto"/>
                          </w:divBdr>
                        </w:div>
                        <w:div w:id="1962104988">
                          <w:marLeft w:val="0"/>
                          <w:marRight w:val="0"/>
                          <w:marTop w:val="0"/>
                          <w:marBottom w:val="0"/>
                          <w:divBdr>
                            <w:top w:val="none" w:sz="0" w:space="0" w:color="auto"/>
                            <w:left w:val="none" w:sz="0" w:space="0" w:color="auto"/>
                            <w:bottom w:val="none" w:sz="0" w:space="0" w:color="auto"/>
                            <w:right w:val="none" w:sz="0" w:space="0" w:color="auto"/>
                          </w:divBdr>
                        </w:div>
                        <w:div w:id="1859469302">
                          <w:marLeft w:val="0"/>
                          <w:marRight w:val="0"/>
                          <w:marTop w:val="0"/>
                          <w:marBottom w:val="0"/>
                          <w:divBdr>
                            <w:top w:val="none" w:sz="0" w:space="0" w:color="auto"/>
                            <w:left w:val="none" w:sz="0" w:space="0" w:color="auto"/>
                            <w:bottom w:val="none" w:sz="0" w:space="0" w:color="auto"/>
                            <w:right w:val="none" w:sz="0" w:space="0" w:color="auto"/>
                          </w:divBdr>
                        </w:div>
                        <w:div w:id="1546991957">
                          <w:marLeft w:val="0"/>
                          <w:marRight w:val="0"/>
                          <w:marTop w:val="0"/>
                          <w:marBottom w:val="0"/>
                          <w:divBdr>
                            <w:top w:val="none" w:sz="0" w:space="0" w:color="auto"/>
                            <w:left w:val="none" w:sz="0" w:space="0" w:color="auto"/>
                            <w:bottom w:val="none" w:sz="0" w:space="0" w:color="auto"/>
                            <w:right w:val="none" w:sz="0" w:space="0" w:color="auto"/>
                          </w:divBdr>
                        </w:div>
                        <w:div w:id="401098690">
                          <w:marLeft w:val="0"/>
                          <w:marRight w:val="0"/>
                          <w:marTop w:val="0"/>
                          <w:marBottom w:val="0"/>
                          <w:divBdr>
                            <w:top w:val="none" w:sz="0" w:space="0" w:color="auto"/>
                            <w:left w:val="none" w:sz="0" w:space="0" w:color="auto"/>
                            <w:bottom w:val="none" w:sz="0" w:space="0" w:color="auto"/>
                            <w:right w:val="none" w:sz="0" w:space="0" w:color="auto"/>
                          </w:divBdr>
                        </w:div>
                        <w:div w:id="1997605580">
                          <w:marLeft w:val="0"/>
                          <w:marRight w:val="0"/>
                          <w:marTop w:val="0"/>
                          <w:marBottom w:val="0"/>
                          <w:divBdr>
                            <w:top w:val="none" w:sz="0" w:space="0" w:color="auto"/>
                            <w:left w:val="none" w:sz="0" w:space="0" w:color="auto"/>
                            <w:bottom w:val="none" w:sz="0" w:space="0" w:color="auto"/>
                            <w:right w:val="none" w:sz="0" w:space="0" w:color="auto"/>
                          </w:divBdr>
                        </w:div>
                        <w:div w:id="1366557937">
                          <w:marLeft w:val="0"/>
                          <w:marRight w:val="0"/>
                          <w:marTop w:val="0"/>
                          <w:marBottom w:val="0"/>
                          <w:divBdr>
                            <w:top w:val="none" w:sz="0" w:space="0" w:color="auto"/>
                            <w:left w:val="none" w:sz="0" w:space="0" w:color="auto"/>
                            <w:bottom w:val="none" w:sz="0" w:space="0" w:color="auto"/>
                            <w:right w:val="none" w:sz="0" w:space="0" w:color="auto"/>
                          </w:divBdr>
                        </w:div>
                        <w:div w:id="587464890">
                          <w:marLeft w:val="0"/>
                          <w:marRight w:val="0"/>
                          <w:marTop w:val="0"/>
                          <w:marBottom w:val="0"/>
                          <w:divBdr>
                            <w:top w:val="none" w:sz="0" w:space="0" w:color="auto"/>
                            <w:left w:val="none" w:sz="0" w:space="0" w:color="auto"/>
                            <w:bottom w:val="none" w:sz="0" w:space="0" w:color="auto"/>
                            <w:right w:val="none" w:sz="0" w:space="0" w:color="auto"/>
                          </w:divBdr>
                        </w:div>
                        <w:div w:id="1735810033">
                          <w:marLeft w:val="0"/>
                          <w:marRight w:val="0"/>
                          <w:marTop w:val="0"/>
                          <w:marBottom w:val="0"/>
                          <w:divBdr>
                            <w:top w:val="none" w:sz="0" w:space="0" w:color="auto"/>
                            <w:left w:val="none" w:sz="0" w:space="0" w:color="auto"/>
                            <w:bottom w:val="none" w:sz="0" w:space="0" w:color="auto"/>
                            <w:right w:val="none" w:sz="0" w:space="0" w:color="auto"/>
                          </w:divBdr>
                        </w:div>
                        <w:div w:id="1113862395">
                          <w:marLeft w:val="0"/>
                          <w:marRight w:val="0"/>
                          <w:marTop w:val="0"/>
                          <w:marBottom w:val="0"/>
                          <w:divBdr>
                            <w:top w:val="none" w:sz="0" w:space="0" w:color="auto"/>
                            <w:left w:val="none" w:sz="0" w:space="0" w:color="auto"/>
                            <w:bottom w:val="none" w:sz="0" w:space="0" w:color="auto"/>
                            <w:right w:val="none" w:sz="0" w:space="0" w:color="auto"/>
                          </w:divBdr>
                        </w:div>
                        <w:div w:id="864095272">
                          <w:marLeft w:val="0"/>
                          <w:marRight w:val="0"/>
                          <w:marTop w:val="0"/>
                          <w:marBottom w:val="0"/>
                          <w:divBdr>
                            <w:top w:val="none" w:sz="0" w:space="0" w:color="auto"/>
                            <w:left w:val="none" w:sz="0" w:space="0" w:color="auto"/>
                            <w:bottom w:val="none" w:sz="0" w:space="0" w:color="auto"/>
                            <w:right w:val="none" w:sz="0" w:space="0" w:color="auto"/>
                          </w:divBdr>
                        </w:div>
                        <w:div w:id="16738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9502">
              <w:marLeft w:val="0"/>
              <w:marRight w:val="0"/>
              <w:marTop w:val="0"/>
              <w:marBottom w:val="0"/>
              <w:divBdr>
                <w:top w:val="none" w:sz="0" w:space="0" w:color="auto"/>
                <w:left w:val="none" w:sz="0" w:space="0" w:color="auto"/>
                <w:bottom w:val="none" w:sz="0" w:space="0" w:color="auto"/>
                <w:right w:val="none" w:sz="0" w:space="0" w:color="auto"/>
              </w:divBdr>
            </w:div>
            <w:div w:id="817454958">
              <w:marLeft w:val="0"/>
              <w:marRight w:val="0"/>
              <w:marTop w:val="0"/>
              <w:marBottom w:val="0"/>
              <w:divBdr>
                <w:top w:val="none" w:sz="0" w:space="0" w:color="auto"/>
                <w:left w:val="none" w:sz="0" w:space="0" w:color="auto"/>
                <w:bottom w:val="none" w:sz="0" w:space="0" w:color="auto"/>
                <w:right w:val="none" w:sz="0" w:space="0" w:color="auto"/>
              </w:divBdr>
              <w:divsChild>
                <w:div w:id="1985350177">
                  <w:marLeft w:val="0"/>
                  <w:marRight w:val="0"/>
                  <w:marTop w:val="0"/>
                  <w:marBottom w:val="0"/>
                  <w:divBdr>
                    <w:top w:val="none" w:sz="0" w:space="0" w:color="auto"/>
                    <w:left w:val="none" w:sz="0" w:space="0" w:color="auto"/>
                    <w:bottom w:val="none" w:sz="0" w:space="0" w:color="auto"/>
                    <w:right w:val="none" w:sz="0" w:space="0" w:color="auto"/>
                  </w:divBdr>
                </w:div>
              </w:divsChild>
            </w:div>
            <w:div w:id="1742289362">
              <w:marLeft w:val="0"/>
              <w:marRight w:val="0"/>
              <w:marTop w:val="0"/>
              <w:marBottom w:val="0"/>
              <w:divBdr>
                <w:top w:val="none" w:sz="0" w:space="0" w:color="auto"/>
                <w:left w:val="none" w:sz="0" w:space="0" w:color="auto"/>
                <w:bottom w:val="none" w:sz="0" w:space="0" w:color="auto"/>
                <w:right w:val="none" w:sz="0" w:space="0" w:color="auto"/>
              </w:divBdr>
              <w:divsChild>
                <w:div w:id="649821973">
                  <w:marLeft w:val="0"/>
                  <w:marRight w:val="0"/>
                  <w:marTop w:val="0"/>
                  <w:marBottom w:val="0"/>
                  <w:divBdr>
                    <w:top w:val="none" w:sz="0" w:space="0" w:color="auto"/>
                    <w:left w:val="none" w:sz="0" w:space="0" w:color="auto"/>
                    <w:bottom w:val="none" w:sz="0" w:space="0" w:color="auto"/>
                    <w:right w:val="none" w:sz="0" w:space="0" w:color="auto"/>
                  </w:divBdr>
                  <w:divsChild>
                    <w:div w:id="4276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4496">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sChild>
                    <w:div w:id="1566574320">
                      <w:marLeft w:val="0"/>
                      <w:marRight w:val="0"/>
                      <w:marTop w:val="0"/>
                      <w:marBottom w:val="0"/>
                      <w:divBdr>
                        <w:top w:val="none" w:sz="0" w:space="0" w:color="auto"/>
                        <w:left w:val="none" w:sz="0" w:space="0" w:color="auto"/>
                        <w:bottom w:val="none" w:sz="0" w:space="0" w:color="auto"/>
                        <w:right w:val="none" w:sz="0" w:space="0" w:color="auto"/>
                      </w:divBdr>
                      <w:divsChild>
                        <w:div w:id="9655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3072">
                  <w:marLeft w:val="0"/>
                  <w:marRight w:val="0"/>
                  <w:marTop w:val="0"/>
                  <w:marBottom w:val="0"/>
                  <w:divBdr>
                    <w:top w:val="none" w:sz="0" w:space="0" w:color="auto"/>
                    <w:left w:val="none" w:sz="0" w:space="0" w:color="auto"/>
                    <w:bottom w:val="none" w:sz="0" w:space="0" w:color="auto"/>
                    <w:right w:val="none" w:sz="0" w:space="0" w:color="auto"/>
                  </w:divBdr>
                  <w:divsChild>
                    <w:div w:id="672756689">
                      <w:marLeft w:val="0"/>
                      <w:marRight w:val="0"/>
                      <w:marTop w:val="0"/>
                      <w:marBottom w:val="0"/>
                      <w:divBdr>
                        <w:top w:val="none" w:sz="0" w:space="0" w:color="auto"/>
                        <w:left w:val="none" w:sz="0" w:space="0" w:color="auto"/>
                        <w:bottom w:val="none" w:sz="0" w:space="0" w:color="auto"/>
                        <w:right w:val="none" w:sz="0" w:space="0" w:color="auto"/>
                      </w:divBdr>
                      <w:divsChild>
                        <w:div w:id="2088572537">
                          <w:marLeft w:val="0"/>
                          <w:marRight w:val="0"/>
                          <w:marTop w:val="0"/>
                          <w:marBottom w:val="0"/>
                          <w:divBdr>
                            <w:top w:val="none" w:sz="0" w:space="0" w:color="auto"/>
                            <w:left w:val="none" w:sz="0" w:space="0" w:color="auto"/>
                            <w:bottom w:val="none" w:sz="0" w:space="0" w:color="auto"/>
                            <w:right w:val="none" w:sz="0" w:space="0" w:color="auto"/>
                          </w:divBdr>
                          <w:divsChild>
                            <w:div w:id="2089229503">
                              <w:marLeft w:val="0"/>
                              <w:marRight w:val="0"/>
                              <w:marTop w:val="0"/>
                              <w:marBottom w:val="0"/>
                              <w:divBdr>
                                <w:top w:val="none" w:sz="0" w:space="0" w:color="auto"/>
                                <w:left w:val="none" w:sz="0" w:space="0" w:color="auto"/>
                                <w:bottom w:val="none" w:sz="0" w:space="0" w:color="auto"/>
                                <w:right w:val="none" w:sz="0" w:space="0" w:color="auto"/>
                              </w:divBdr>
                            </w:div>
                            <w:div w:id="17295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6443">
              <w:marLeft w:val="0"/>
              <w:marRight w:val="0"/>
              <w:marTop w:val="0"/>
              <w:marBottom w:val="0"/>
              <w:divBdr>
                <w:top w:val="none" w:sz="0" w:space="0" w:color="auto"/>
                <w:left w:val="none" w:sz="0" w:space="0" w:color="auto"/>
                <w:bottom w:val="none" w:sz="0" w:space="0" w:color="auto"/>
                <w:right w:val="none" w:sz="0" w:space="0" w:color="auto"/>
              </w:divBdr>
              <w:divsChild>
                <w:div w:id="1880704190">
                  <w:marLeft w:val="0"/>
                  <w:marRight w:val="0"/>
                  <w:marTop w:val="0"/>
                  <w:marBottom w:val="0"/>
                  <w:divBdr>
                    <w:top w:val="none" w:sz="0" w:space="0" w:color="auto"/>
                    <w:left w:val="none" w:sz="0" w:space="0" w:color="auto"/>
                    <w:bottom w:val="none" w:sz="0" w:space="0" w:color="auto"/>
                    <w:right w:val="none" w:sz="0" w:space="0" w:color="auto"/>
                  </w:divBdr>
                </w:div>
                <w:div w:id="11539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rnaceandfugue.org/essays/introduction/" TargetMode="External"/><Relationship Id="rId18" Type="http://schemas.openxmlformats.org/officeDocument/2006/relationships/hyperlink" Target="https://furnaceandfugue.org/essays/gaudio" TargetMode="External"/><Relationship Id="rId26" Type="http://schemas.openxmlformats.org/officeDocument/2006/relationships/hyperlink" Target="https://othmerlib.sciencehistory.org/record=b1035397~S6" TargetMode="External"/><Relationship Id="rId39" Type="http://schemas.openxmlformats.org/officeDocument/2006/relationships/hyperlink" Target="https://furnaceandfugue.org/atalanta-fugiens/" TargetMode="External"/><Relationship Id="rId3" Type="http://schemas.microsoft.com/office/2007/relationships/stylesWithEffects" Target="stylesWithEffects.xml"/><Relationship Id="rId21" Type="http://schemas.openxmlformats.org/officeDocument/2006/relationships/hyperlink" Target="https://furnaceandfugue.org/essays/ludwig" TargetMode="External"/><Relationship Id="rId34" Type="http://schemas.openxmlformats.org/officeDocument/2006/relationships/hyperlink" Target="https://furnaceandfugue.org/essays/introduction/" TargetMode="External"/><Relationship Id="rId42" Type="http://schemas.openxmlformats.org/officeDocument/2006/relationships/hyperlink" Target="https://gallica.bnf.fr/ark:/12148/bpt6k850551g/f7.image" TargetMode="External"/><Relationship Id="rId47" Type="http://schemas.openxmlformats.org/officeDocument/2006/relationships/hyperlink" Target="https://www.upress.virginia.edu/series/studies-early-modern-german-history" TargetMode="External"/><Relationship Id="rId7" Type="http://schemas.openxmlformats.org/officeDocument/2006/relationships/hyperlink" Target="https://furnaceandfugue.org/essays/introduction/" TargetMode="External"/><Relationship Id="rId12" Type="http://schemas.openxmlformats.org/officeDocument/2006/relationships/hyperlink" Target="https://furnaceandfugue.org/front-matter/getacquainted/alchemy/" TargetMode="External"/><Relationship Id="rId17" Type="http://schemas.openxmlformats.org/officeDocument/2006/relationships/hyperlink" Target="https://furnaceandfugue.org/essays/nummedal" TargetMode="External"/><Relationship Id="rId25" Type="http://schemas.openxmlformats.org/officeDocument/2006/relationships/hyperlink" Target="https://gallica.bnf.fr/ark:/12148/bpt6k850551g/f7.image" TargetMode="External"/><Relationship Id="rId33" Type="http://schemas.openxmlformats.org/officeDocument/2006/relationships/image" Target="media/image4.jpeg"/><Relationship Id="rId38" Type="http://schemas.openxmlformats.org/officeDocument/2006/relationships/hyperlink" Target="https://furnaceandfugue.org/essays/introduction/" TargetMode="External"/><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furnaceandfugue.org/essays/introduction/" TargetMode="External"/><Relationship Id="rId20" Type="http://schemas.openxmlformats.org/officeDocument/2006/relationships/hyperlink" Target="https://furnaceandfugue.org/essays/forshaw" TargetMode="External"/><Relationship Id="rId29" Type="http://schemas.openxmlformats.org/officeDocument/2006/relationships/image" Target="media/image2.jpeg"/><Relationship Id="rId41" Type="http://schemas.openxmlformats.org/officeDocument/2006/relationships/hyperlink" Target="http://www.palatinopress.com/atalanta-fugiens.html" TargetMode="External"/><Relationship Id="rId1" Type="http://schemas.openxmlformats.org/officeDocument/2006/relationships/numbering" Target="numbering.xml"/><Relationship Id="rId6" Type="http://schemas.openxmlformats.org/officeDocument/2006/relationships/hyperlink" Target="https://furnaceandfugue.org/front-matter/getacquainted/printing/" TargetMode="External"/><Relationship Id="rId11" Type="http://schemas.openxmlformats.org/officeDocument/2006/relationships/hyperlink" Target="https://furnaceandfugue.org/essays/introduction/" TargetMode="External"/><Relationship Id="rId24" Type="http://schemas.openxmlformats.org/officeDocument/2006/relationships/hyperlink" Target="https://furnaceandfugue.org/essays/bilak" TargetMode="External"/><Relationship Id="rId32" Type="http://schemas.openxmlformats.org/officeDocument/2006/relationships/hyperlink" Target="https://furnaceandfugue.org/essays/introduction/" TargetMode="External"/><Relationship Id="rId37" Type="http://schemas.openxmlformats.org/officeDocument/2006/relationships/hyperlink" Target="https://furnaceandfugue.org/essays/introduction/" TargetMode="External"/><Relationship Id="rId40" Type="http://schemas.openxmlformats.org/officeDocument/2006/relationships/hyperlink" Target="http://hdl.handle.net/10020/950053b27" TargetMode="External"/><Relationship Id="rId45" Type="http://schemas.openxmlformats.org/officeDocument/2006/relationships/hyperlink" Target="https://www.upress.virginia.edu/" TargetMode="External"/><Relationship Id="rId5" Type="http://schemas.openxmlformats.org/officeDocument/2006/relationships/webSettings" Target="webSettings.xml"/><Relationship Id="rId15" Type="http://schemas.openxmlformats.org/officeDocument/2006/relationships/hyperlink" Target="https://furnaceandfugue.org/essays/introduction/" TargetMode="External"/><Relationship Id="rId23" Type="http://schemas.openxmlformats.org/officeDocument/2006/relationships/hyperlink" Target="https://furnaceandfugue.org/essays/introduction/" TargetMode="External"/><Relationship Id="rId28" Type="http://schemas.openxmlformats.org/officeDocument/2006/relationships/image" Target="media/image1.jpeg"/><Relationship Id="rId36" Type="http://schemas.openxmlformats.org/officeDocument/2006/relationships/hyperlink" Target="https://furnaceandfugue.org/essays/introduction/" TargetMode="External"/><Relationship Id="rId49" Type="http://schemas.openxmlformats.org/officeDocument/2006/relationships/theme" Target="theme/theme1.xml"/><Relationship Id="rId10" Type="http://schemas.openxmlformats.org/officeDocument/2006/relationships/hyperlink" Target="https://furnaceandfugue.org/essays/introduction/" TargetMode="External"/><Relationship Id="rId19" Type="http://schemas.openxmlformats.org/officeDocument/2006/relationships/hyperlink" Target="https://furnaceandfugue.org/essays/bianchi" TargetMode="External"/><Relationship Id="rId31" Type="http://schemas.openxmlformats.org/officeDocument/2006/relationships/hyperlink" Target="https://brbl-dl.library.yale.edu/vufind/Record/4262893" TargetMode="External"/><Relationship Id="rId44" Type="http://schemas.openxmlformats.org/officeDocument/2006/relationships/hyperlink" Target="https://doi.org/10.4159/DLCL.ovid-metamorphoses.1916" TargetMode="External"/><Relationship Id="rId4" Type="http://schemas.openxmlformats.org/officeDocument/2006/relationships/settings" Target="settings.xml"/><Relationship Id="rId9" Type="http://schemas.openxmlformats.org/officeDocument/2006/relationships/hyperlink" Target="https://furnaceandfugue.org/essays/introduction/" TargetMode="External"/><Relationship Id="rId14" Type="http://schemas.openxmlformats.org/officeDocument/2006/relationships/hyperlink" Target="https://furnaceandfugue.org/essays/introduction/" TargetMode="External"/><Relationship Id="rId22" Type="http://schemas.openxmlformats.org/officeDocument/2006/relationships/hyperlink" Target="https://furnaceandfugue.org/essays/oosterhoff" TargetMode="External"/><Relationship Id="rId27" Type="http://schemas.openxmlformats.org/officeDocument/2006/relationships/hyperlink" Target="https://furnaceandfugue.org/essays/introduction/" TargetMode="External"/><Relationship Id="rId30" Type="http://schemas.openxmlformats.org/officeDocument/2006/relationships/image" Target="media/image3.jpeg"/><Relationship Id="rId35" Type="http://schemas.openxmlformats.org/officeDocument/2006/relationships/hyperlink" Target="https://furnaceandfugue.org/essays/introduction/" TargetMode="External"/><Relationship Id="rId43" Type="http://schemas.openxmlformats.org/officeDocument/2006/relationships/hyperlink" Target="https://othmerlib.sciencehistory.org/record=b1035397~S6" TargetMode="External"/><Relationship Id="rId48" Type="http://schemas.openxmlformats.org/officeDocument/2006/relationships/fontTable" Target="fontTable.xml"/><Relationship Id="rId8" Type="http://schemas.openxmlformats.org/officeDocument/2006/relationships/hyperlink" Target="https://furnaceandfugue.org/essays/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5404</Words>
  <Characters>30807</Characters>
  <Application>Microsoft Office Word</Application>
  <DocSecurity>0</DocSecurity>
  <Lines>256</Lines>
  <Paragraphs>72</Paragraphs>
  <ScaleCrop>false</ScaleCrop>
  <Company/>
  <LinksUpToDate>false</LinksUpToDate>
  <CharactersWithSpaces>36139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2022-01-18T03:24:00Z</dcterms:created>
  <dcterms:modified xsi:type="dcterms:W3CDTF">2022-01-18T03:30:00Z</dcterms:modified>
</cp:coreProperties>
</file>